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532" w:rsidRDefault="00CC54D0" w:rsidP="00C27532">
      <w:pPr>
        <w:spacing w:after="0"/>
        <w:contextualSpacing/>
        <w:jc w:val="center"/>
        <w:rPr>
          <w:b/>
          <w:sz w:val="32"/>
          <w:szCs w:val="32"/>
        </w:rPr>
      </w:pPr>
      <w:bookmarkStart w:id="0" w:name="_GoBack"/>
      <w:bookmarkEnd w:id="0"/>
      <w:r>
        <w:rPr>
          <w:b/>
          <w:noProof/>
          <w:sz w:val="32"/>
          <w:szCs w:val="32"/>
        </w:rPr>
        <w:drawing>
          <wp:anchor distT="0" distB="0" distL="114300" distR="114300" simplePos="0" relativeHeight="251663360" behindDoc="0" locked="0" layoutInCell="1" allowOverlap="0">
            <wp:simplePos x="0" y="0"/>
            <wp:positionH relativeFrom="column">
              <wp:posOffset>4924425</wp:posOffset>
            </wp:positionH>
            <wp:positionV relativeFrom="paragraph">
              <wp:posOffset>0</wp:posOffset>
            </wp:positionV>
            <wp:extent cx="1152525" cy="1123950"/>
            <wp:effectExtent l="19050" t="0" r="9525" b="0"/>
            <wp:wrapSquare wrapText="bothSides"/>
            <wp:docPr id="3" name="Picture 5" descr="coin with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in with flags"/>
                    <pic:cNvPicPr>
                      <a:picLocks noChangeAspect="1" noChangeArrowheads="1"/>
                    </pic:cNvPicPr>
                  </pic:nvPicPr>
                  <pic:blipFill>
                    <a:blip r:embed="rId7" cstate="print"/>
                    <a:srcRect/>
                    <a:stretch>
                      <a:fillRect/>
                    </a:stretch>
                  </pic:blipFill>
                  <pic:spPr bwMode="auto">
                    <a:xfrm>
                      <a:off x="0" y="0"/>
                      <a:ext cx="1152525" cy="1123950"/>
                    </a:xfrm>
                    <a:prstGeom prst="rect">
                      <a:avLst/>
                    </a:prstGeom>
                    <a:noFill/>
                    <a:ln w="9525">
                      <a:noFill/>
                      <a:miter lim="800000"/>
                      <a:headEnd/>
                      <a:tailEnd/>
                    </a:ln>
                  </pic:spPr>
                </pic:pic>
              </a:graphicData>
            </a:graphic>
          </wp:anchor>
        </w:drawing>
      </w:r>
      <w:r w:rsidR="006F3EDF">
        <w:rPr>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3895725" cy="699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69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8DA" w:rsidRDefault="004F68DA" w:rsidP="00771CDE">
                            <w:pPr>
                              <w:contextualSpacing/>
                              <w:jc w:val="center"/>
                              <w:rPr>
                                <w:b/>
                                <w:sz w:val="40"/>
                                <w:szCs w:val="40"/>
                              </w:rPr>
                            </w:pPr>
                            <w:r w:rsidRPr="00771CDE">
                              <w:rPr>
                                <w:b/>
                                <w:sz w:val="40"/>
                                <w:szCs w:val="40"/>
                              </w:rPr>
                              <w:t>Gilbert Police Department DDACTS</w:t>
                            </w:r>
                          </w:p>
                          <w:p w:rsidR="004F68DA" w:rsidRPr="00771CDE" w:rsidRDefault="004F68DA" w:rsidP="00771CDE">
                            <w:pPr>
                              <w:contextualSpacing/>
                              <w:jc w:val="center"/>
                              <w:rPr>
                                <w:b/>
                                <w:sz w:val="24"/>
                                <w:szCs w:val="24"/>
                              </w:rPr>
                            </w:pPr>
                            <w:r>
                              <w:rPr>
                                <w:b/>
                                <w:sz w:val="24"/>
                                <w:szCs w:val="24"/>
                              </w:rPr>
                              <w:t xml:space="preserve">Data Driven Approaches to Crime and Traffic Safety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7.25pt;width:306.7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T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" stroked="f">
                <v:textbox>
                  <w:txbxContent>
                    <w:p w:rsidR="004F68DA" w:rsidRDefault="004F68DA" w:rsidP="00771CDE">
                      <w:pPr>
                        <w:contextualSpacing/>
                        <w:jc w:val="center"/>
                        <w:rPr>
                          <w:b/>
                          <w:sz w:val="40"/>
                          <w:szCs w:val="40"/>
                        </w:rPr>
                      </w:pPr>
                      <w:r w:rsidRPr="00771CDE">
                        <w:rPr>
                          <w:b/>
                          <w:sz w:val="40"/>
                          <w:szCs w:val="40"/>
                        </w:rPr>
                        <w:t>Gilbert Police Department DDACTS</w:t>
                      </w:r>
                    </w:p>
                    <w:p w:rsidR="004F68DA" w:rsidRPr="00771CDE" w:rsidRDefault="004F68DA" w:rsidP="00771CDE">
                      <w:pPr>
                        <w:contextualSpacing/>
                        <w:jc w:val="center"/>
                        <w:rPr>
                          <w:b/>
                          <w:sz w:val="24"/>
                          <w:szCs w:val="24"/>
                        </w:rPr>
                      </w:pPr>
                      <w:r>
                        <w:rPr>
                          <w:b/>
                          <w:sz w:val="24"/>
                          <w:szCs w:val="24"/>
                        </w:rPr>
                        <w:t xml:space="preserve">Data Driven Approaches to Crime and Traffic Safety </w:t>
                      </w:r>
                    </w:p>
                  </w:txbxContent>
                </v:textbox>
              </v:shape>
            </w:pict>
          </mc:Fallback>
        </mc:AlternateContent>
      </w:r>
      <w:r w:rsidR="00602C65">
        <w:rPr>
          <w:b/>
          <w:noProof/>
          <w:sz w:val="32"/>
          <w:szCs w:val="32"/>
        </w:rPr>
        <w:drawing>
          <wp:anchor distT="0" distB="0" distL="114300" distR="114300" simplePos="0" relativeHeight="251659264" behindDoc="0" locked="0" layoutInCell="1" allowOverlap="0">
            <wp:simplePos x="0" y="0"/>
            <wp:positionH relativeFrom="column">
              <wp:posOffset>-361950</wp:posOffset>
            </wp:positionH>
            <wp:positionV relativeFrom="paragraph">
              <wp:posOffset>0</wp:posOffset>
            </wp:positionV>
            <wp:extent cx="1152525" cy="1123950"/>
            <wp:effectExtent l="19050" t="0" r="9525" b="0"/>
            <wp:wrapSquare wrapText="bothSides"/>
            <wp:docPr id="5" name="Picture 5" descr="coin with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in with flags"/>
                    <pic:cNvPicPr>
                      <a:picLocks noChangeAspect="1" noChangeArrowheads="1"/>
                    </pic:cNvPicPr>
                  </pic:nvPicPr>
                  <pic:blipFill>
                    <a:blip r:embed="rId7" cstate="print"/>
                    <a:srcRect/>
                    <a:stretch>
                      <a:fillRect/>
                    </a:stretch>
                  </pic:blipFill>
                  <pic:spPr bwMode="auto">
                    <a:xfrm>
                      <a:off x="0" y="0"/>
                      <a:ext cx="1152525" cy="1123950"/>
                    </a:xfrm>
                    <a:prstGeom prst="rect">
                      <a:avLst/>
                    </a:prstGeom>
                    <a:noFill/>
                    <a:ln w="9525">
                      <a:noFill/>
                      <a:miter lim="800000"/>
                      <a:headEnd/>
                      <a:tailEnd/>
                    </a:ln>
                  </pic:spPr>
                </pic:pic>
              </a:graphicData>
            </a:graphic>
          </wp:anchor>
        </w:drawing>
      </w:r>
      <w:r w:rsidR="00C27532">
        <w:rPr>
          <w:b/>
          <w:sz w:val="32"/>
          <w:szCs w:val="32"/>
        </w:rPr>
        <w:t xml:space="preserve">   </w:t>
      </w:r>
      <w:r w:rsidR="00771CDE">
        <w:rPr>
          <w:b/>
          <w:sz w:val="32"/>
          <w:szCs w:val="32"/>
        </w:rPr>
        <w:t xml:space="preserve">                                                                  </w:t>
      </w:r>
      <w:r w:rsidR="00C27532">
        <w:rPr>
          <w:b/>
          <w:sz w:val="32"/>
          <w:szCs w:val="32"/>
        </w:rPr>
        <w:t xml:space="preserve">             </w:t>
      </w:r>
      <w:r w:rsidR="00771CDE">
        <w:rPr>
          <w:b/>
          <w:sz w:val="32"/>
          <w:szCs w:val="32"/>
        </w:rPr>
        <w:t xml:space="preserve"> </w:t>
      </w:r>
      <w:r w:rsidR="00C27532">
        <w:rPr>
          <w:b/>
          <w:sz w:val="32"/>
          <w:szCs w:val="32"/>
        </w:rPr>
        <w:t xml:space="preserve">   </w:t>
      </w:r>
    </w:p>
    <w:p w:rsidR="00C27532" w:rsidRDefault="00C27532" w:rsidP="00C27532">
      <w:pPr>
        <w:contextualSpacing/>
        <w:rPr>
          <w:b/>
        </w:rPr>
      </w:pPr>
    </w:p>
    <w:p w:rsidR="00CC54D0" w:rsidRDefault="00CC54D0" w:rsidP="00C27532">
      <w:pPr>
        <w:contextualSpacing/>
        <w:rPr>
          <w:b/>
        </w:rPr>
      </w:pPr>
    </w:p>
    <w:p w:rsidR="00CC54D0" w:rsidRDefault="00CC54D0" w:rsidP="00C27532">
      <w:pPr>
        <w:contextualSpacing/>
        <w:rPr>
          <w:b/>
        </w:rPr>
      </w:pPr>
    </w:p>
    <w:p w:rsidR="00CC54D0" w:rsidRDefault="00CC54D0" w:rsidP="00C27532">
      <w:pPr>
        <w:contextualSpacing/>
        <w:rPr>
          <w:b/>
        </w:rPr>
      </w:pPr>
    </w:p>
    <w:p w:rsidR="00CC54D0" w:rsidRDefault="00CC54D0" w:rsidP="00C27532">
      <w:pPr>
        <w:contextualSpacing/>
        <w:rPr>
          <w:b/>
        </w:rPr>
      </w:pPr>
    </w:p>
    <w:p w:rsidR="00CC54D0" w:rsidRDefault="00CC54D0" w:rsidP="00C27532">
      <w:pPr>
        <w:contextualSpacing/>
        <w:rPr>
          <w:b/>
        </w:rPr>
      </w:pPr>
    </w:p>
    <w:p w:rsidR="00CC54D0" w:rsidRDefault="00CC54D0" w:rsidP="00C27532">
      <w:pPr>
        <w:contextualSpacing/>
        <w:rPr>
          <w:b/>
        </w:rPr>
      </w:pPr>
    </w:p>
    <w:p w:rsidR="000540EB" w:rsidRPr="000540EB" w:rsidRDefault="000540EB" w:rsidP="008C14A3">
      <w:pPr>
        <w:contextualSpacing/>
        <w:rPr>
          <w:b/>
          <w:sz w:val="24"/>
          <w:szCs w:val="24"/>
        </w:rPr>
      </w:pPr>
      <w:r w:rsidRPr="000540EB">
        <w:rPr>
          <w:b/>
          <w:sz w:val="24"/>
          <w:szCs w:val="24"/>
        </w:rPr>
        <w:t>Program Overview</w:t>
      </w:r>
    </w:p>
    <w:p w:rsidR="00A062AF" w:rsidRDefault="008C14A3" w:rsidP="008C14A3">
      <w:pPr>
        <w:contextualSpacing/>
        <w:rPr>
          <w:rFonts w:cs="Tahoma"/>
          <w:sz w:val="24"/>
          <w:szCs w:val="24"/>
        </w:rPr>
      </w:pPr>
      <w:r>
        <w:rPr>
          <w:sz w:val="24"/>
          <w:szCs w:val="24"/>
        </w:rPr>
        <w:t xml:space="preserve">DDACTS is an operational model that uses integration of location-based crime and </w:t>
      </w:r>
      <w:r w:rsidR="00FB02B4">
        <w:rPr>
          <w:sz w:val="24"/>
          <w:szCs w:val="24"/>
        </w:rPr>
        <w:t>collision</w:t>
      </w:r>
      <w:r>
        <w:rPr>
          <w:sz w:val="24"/>
          <w:szCs w:val="24"/>
        </w:rPr>
        <w:t xml:space="preserve"> data to establish effective and efficient methods for deploying law enforcement resources.  </w:t>
      </w:r>
      <w:r w:rsidR="000540EB" w:rsidRPr="000540EB">
        <w:rPr>
          <w:rFonts w:cs="Tahoma"/>
          <w:sz w:val="24"/>
          <w:szCs w:val="24"/>
        </w:rPr>
        <w:t xml:space="preserve">Using geomapping to identify areas that have high incidences of crime and </w:t>
      </w:r>
      <w:r w:rsidR="00FB02B4">
        <w:rPr>
          <w:rFonts w:cs="Tahoma"/>
          <w:sz w:val="24"/>
          <w:szCs w:val="24"/>
        </w:rPr>
        <w:t>collisions</w:t>
      </w:r>
      <w:r w:rsidR="000540EB" w:rsidRPr="000540EB">
        <w:rPr>
          <w:rFonts w:cs="Tahoma"/>
          <w:sz w:val="24"/>
          <w:szCs w:val="24"/>
        </w:rPr>
        <w:t>, DDACTS uses traffic enforcement strategies that play a dual role in fighting crime and reducing c</w:t>
      </w:r>
      <w:r w:rsidR="00FB02B4">
        <w:rPr>
          <w:rFonts w:cs="Tahoma"/>
          <w:sz w:val="24"/>
          <w:szCs w:val="24"/>
        </w:rPr>
        <w:t>ollisions</w:t>
      </w:r>
      <w:r w:rsidR="000540EB" w:rsidRPr="000540EB">
        <w:rPr>
          <w:rFonts w:cs="Tahoma"/>
          <w:sz w:val="24"/>
          <w:szCs w:val="24"/>
        </w:rPr>
        <w:t xml:space="preserve"> and traffic violations. Drawing on the deterrent of highly visible traffic enforcement and the knowledge that crime often involves the use of motor vehicles, the goal of DDACTS is to reduce the incidence of crime, c</w:t>
      </w:r>
      <w:r w:rsidR="00FB02B4">
        <w:rPr>
          <w:rFonts w:cs="Tahoma"/>
          <w:sz w:val="24"/>
          <w:szCs w:val="24"/>
        </w:rPr>
        <w:t>ollisions</w:t>
      </w:r>
      <w:r w:rsidR="000540EB" w:rsidRPr="000540EB">
        <w:rPr>
          <w:rFonts w:cs="Tahoma"/>
          <w:sz w:val="24"/>
          <w:szCs w:val="24"/>
        </w:rPr>
        <w:t>, and traffic violations across the country</w:t>
      </w:r>
      <w:r w:rsidR="00C2752A">
        <w:rPr>
          <w:rFonts w:cs="Tahoma"/>
          <w:sz w:val="24"/>
          <w:szCs w:val="24"/>
        </w:rPr>
        <w:t xml:space="preserve"> (DDACTS National Website)</w:t>
      </w:r>
      <w:r w:rsidR="000540EB" w:rsidRPr="000540EB">
        <w:rPr>
          <w:rFonts w:cs="Tahoma"/>
          <w:sz w:val="24"/>
          <w:szCs w:val="24"/>
        </w:rPr>
        <w:t>.</w:t>
      </w:r>
      <w:r w:rsidR="000540EB">
        <w:rPr>
          <w:rFonts w:cs="Tahoma"/>
          <w:sz w:val="24"/>
          <w:szCs w:val="24"/>
        </w:rPr>
        <w:t xml:space="preserve">  </w:t>
      </w:r>
      <w:r w:rsidR="00197F58">
        <w:rPr>
          <w:rFonts w:cs="Tahoma"/>
          <w:sz w:val="24"/>
          <w:szCs w:val="24"/>
        </w:rPr>
        <w:t xml:space="preserve">DDACTS analyzes and addresses long term crime and traffic collision trends, unlike Compstat, which is designed for short-term crime issues.  </w:t>
      </w:r>
      <w:r w:rsidR="00665CD0">
        <w:rPr>
          <w:rFonts w:cs="Tahoma"/>
          <w:sz w:val="24"/>
          <w:szCs w:val="24"/>
        </w:rPr>
        <w:t xml:space="preserve">Information and </w:t>
      </w:r>
      <w:r w:rsidR="000540EB">
        <w:rPr>
          <w:rFonts w:cs="Tahoma"/>
          <w:sz w:val="24"/>
          <w:szCs w:val="24"/>
        </w:rPr>
        <w:t xml:space="preserve">case studies </w:t>
      </w:r>
      <w:r w:rsidR="00197F58">
        <w:rPr>
          <w:rFonts w:cs="Tahoma"/>
          <w:sz w:val="24"/>
          <w:szCs w:val="24"/>
        </w:rPr>
        <w:t xml:space="preserve">on DDACTS </w:t>
      </w:r>
      <w:r w:rsidR="000540EB">
        <w:rPr>
          <w:rFonts w:cs="Tahoma"/>
          <w:sz w:val="24"/>
          <w:szCs w:val="24"/>
        </w:rPr>
        <w:t>are available online and have demonstrated the value of DDACT</w:t>
      </w:r>
      <w:r w:rsidR="00665CD0">
        <w:rPr>
          <w:rFonts w:cs="Tahoma"/>
          <w:sz w:val="24"/>
          <w:szCs w:val="24"/>
        </w:rPr>
        <w:t>S</w:t>
      </w:r>
      <w:r w:rsidR="000540EB">
        <w:rPr>
          <w:rFonts w:cs="Tahoma"/>
          <w:sz w:val="24"/>
          <w:szCs w:val="24"/>
        </w:rPr>
        <w:t>, in crime and collision reductions</w:t>
      </w:r>
      <w:r w:rsidR="00665CD0">
        <w:rPr>
          <w:rFonts w:cs="Tahoma"/>
          <w:sz w:val="24"/>
          <w:szCs w:val="24"/>
        </w:rPr>
        <w:t xml:space="preserve">.  Select link: </w:t>
      </w:r>
      <w:hyperlink r:id="rId8" w:history="1">
        <w:r w:rsidR="00665CD0" w:rsidRPr="00665CD0">
          <w:rPr>
            <w:rStyle w:val="Hyperlink"/>
            <w:rFonts w:cs="Tahoma"/>
            <w:sz w:val="24"/>
            <w:szCs w:val="24"/>
          </w:rPr>
          <w:t>Data-Driven Approaches to Crime and Traffic Safety (DDACTS) | National Highway Traffic Safety Administration (NHTSA)</w:t>
        </w:r>
      </w:hyperlink>
    </w:p>
    <w:p w:rsidR="009B6761" w:rsidRDefault="009B6761" w:rsidP="008C14A3">
      <w:pPr>
        <w:contextualSpacing/>
        <w:rPr>
          <w:rFonts w:cs="Tahoma"/>
          <w:sz w:val="24"/>
          <w:szCs w:val="24"/>
        </w:rPr>
      </w:pPr>
    </w:p>
    <w:p w:rsidR="009B6761" w:rsidRDefault="009B6761" w:rsidP="008C14A3">
      <w:pPr>
        <w:contextualSpacing/>
        <w:rPr>
          <w:rFonts w:cs="Tahoma"/>
          <w:sz w:val="24"/>
          <w:szCs w:val="24"/>
        </w:rPr>
      </w:pPr>
    </w:p>
    <w:p w:rsidR="004F5BCB" w:rsidRDefault="004F5BCB" w:rsidP="008C14A3">
      <w:pPr>
        <w:contextualSpacing/>
        <w:rPr>
          <w:rFonts w:cs="Tahoma"/>
          <w:b/>
          <w:sz w:val="24"/>
          <w:szCs w:val="24"/>
        </w:rPr>
      </w:pPr>
      <w:r>
        <w:rPr>
          <w:rFonts w:cs="Tahoma"/>
          <w:b/>
          <w:sz w:val="24"/>
          <w:szCs w:val="24"/>
        </w:rPr>
        <w:t>Definitions</w:t>
      </w:r>
    </w:p>
    <w:p w:rsidR="004F5BCB" w:rsidRDefault="004F5BCB" w:rsidP="009B6761">
      <w:pPr>
        <w:spacing w:after="0"/>
        <w:contextualSpacing/>
        <w:rPr>
          <w:rFonts w:cs="Tahoma"/>
          <w:sz w:val="24"/>
          <w:szCs w:val="24"/>
        </w:rPr>
      </w:pPr>
      <w:r w:rsidRPr="004F5BCB">
        <w:rPr>
          <w:rFonts w:cs="Tahoma"/>
          <w:sz w:val="24"/>
          <w:szCs w:val="24"/>
          <w:u w:val="single"/>
        </w:rPr>
        <w:t xml:space="preserve">DDACTS </w:t>
      </w:r>
      <w:r>
        <w:rPr>
          <w:rFonts w:cs="Tahoma"/>
          <w:sz w:val="24"/>
          <w:szCs w:val="24"/>
          <w:u w:val="single"/>
        </w:rPr>
        <w:t>Z</w:t>
      </w:r>
      <w:r w:rsidRPr="004F5BCB">
        <w:rPr>
          <w:rFonts w:cs="Tahoma"/>
          <w:sz w:val="24"/>
          <w:szCs w:val="24"/>
          <w:u w:val="single"/>
        </w:rPr>
        <w:t>one</w:t>
      </w:r>
      <w:r>
        <w:rPr>
          <w:rFonts w:cs="Tahoma"/>
          <w:sz w:val="24"/>
          <w:szCs w:val="24"/>
        </w:rPr>
        <w:t>: a specific geographic area for DDACTS program enforcement and community education</w:t>
      </w:r>
      <w:r w:rsidR="00665CD0">
        <w:rPr>
          <w:rFonts w:cs="Tahoma"/>
          <w:sz w:val="24"/>
          <w:szCs w:val="24"/>
        </w:rPr>
        <w:t xml:space="preserve"> and partnership</w:t>
      </w:r>
      <w:r>
        <w:rPr>
          <w:rFonts w:cs="Tahoma"/>
          <w:sz w:val="24"/>
          <w:szCs w:val="24"/>
        </w:rPr>
        <w:t xml:space="preserve">, determined through data analysis of specific crimes and collisions for a three year historical period.  </w:t>
      </w:r>
    </w:p>
    <w:p w:rsidR="009B6761" w:rsidRDefault="009B6761" w:rsidP="009B6761">
      <w:pPr>
        <w:spacing w:after="0"/>
        <w:contextualSpacing/>
        <w:rPr>
          <w:rFonts w:cs="Tahoma"/>
          <w:sz w:val="24"/>
          <w:szCs w:val="24"/>
        </w:rPr>
      </w:pPr>
    </w:p>
    <w:p w:rsidR="004F5BCB" w:rsidRDefault="004F5BCB" w:rsidP="008C14A3">
      <w:pPr>
        <w:contextualSpacing/>
        <w:rPr>
          <w:rFonts w:cs="Tahoma"/>
          <w:sz w:val="24"/>
          <w:szCs w:val="24"/>
        </w:rPr>
      </w:pPr>
      <w:r w:rsidRPr="004F5BCB">
        <w:rPr>
          <w:rFonts w:cs="Tahoma"/>
          <w:sz w:val="24"/>
          <w:szCs w:val="24"/>
          <w:u w:val="single"/>
        </w:rPr>
        <w:t>Directed Enforcement Area</w:t>
      </w:r>
      <w:r>
        <w:rPr>
          <w:rFonts w:cs="Tahoma"/>
          <w:sz w:val="24"/>
          <w:szCs w:val="24"/>
        </w:rPr>
        <w:t xml:space="preserve">: </w:t>
      </w:r>
      <w:r w:rsidR="00FB02B4">
        <w:rPr>
          <w:rFonts w:cs="Tahoma"/>
          <w:sz w:val="24"/>
          <w:szCs w:val="24"/>
        </w:rPr>
        <w:t xml:space="preserve">an </w:t>
      </w:r>
      <w:r>
        <w:rPr>
          <w:rFonts w:cs="Tahoma"/>
          <w:sz w:val="24"/>
          <w:szCs w:val="24"/>
        </w:rPr>
        <w:t xml:space="preserve">area determined for short-term enforcement, based on data analysis of recent </w:t>
      </w:r>
      <w:r w:rsidR="0034396E">
        <w:rPr>
          <w:rFonts w:cs="Tahoma"/>
          <w:sz w:val="24"/>
          <w:szCs w:val="24"/>
        </w:rPr>
        <w:t>spikes of</w:t>
      </w:r>
      <w:r>
        <w:rPr>
          <w:rFonts w:cs="Tahoma"/>
          <w:sz w:val="24"/>
          <w:szCs w:val="24"/>
        </w:rPr>
        <w:t xml:space="preserve"> crimes</w:t>
      </w:r>
      <w:r w:rsidR="0034396E">
        <w:rPr>
          <w:rFonts w:cs="Tahoma"/>
          <w:sz w:val="24"/>
          <w:szCs w:val="24"/>
        </w:rPr>
        <w:t xml:space="preserve"> </w:t>
      </w:r>
      <w:r w:rsidR="00FB02B4">
        <w:rPr>
          <w:rFonts w:cs="Tahoma"/>
          <w:sz w:val="24"/>
          <w:szCs w:val="24"/>
        </w:rPr>
        <w:t>and/</w:t>
      </w:r>
      <w:r w:rsidR="0034396E">
        <w:rPr>
          <w:rFonts w:cs="Tahoma"/>
          <w:sz w:val="24"/>
          <w:szCs w:val="24"/>
        </w:rPr>
        <w:t>or collisions</w:t>
      </w:r>
      <w:r>
        <w:rPr>
          <w:rFonts w:cs="Tahoma"/>
          <w:sz w:val="24"/>
          <w:szCs w:val="24"/>
        </w:rPr>
        <w:t xml:space="preserve"> in s</w:t>
      </w:r>
      <w:r w:rsidR="0034396E">
        <w:rPr>
          <w:rFonts w:cs="Tahoma"/>
          <w:sz w:val="24"/>
          <w:szCs w:val="24"/>
        </w:rPr>
        <w:t xml:space="preserve">pecific geographic areas, and reported out </w:t>
      </w:r>
      <w:r w:rsidR="00FB02B4">
        <w:rPr>
          <w:rFonts w:cs="Tahoma"/>
          <w:sz w:val="24"/>
          <w:szCs w:val="24"/>
        </w:rPr>
        <w:t>during the</w:t>
      </w:r>
      <w:r w:rsidR="0034396E">
        <w:rPr>
          <w:rFonts w:cs="Tahoma"/>
          <w:sz w:val="24"/>
          <w:szCs w:val="24"/>
        </w:rPr>
        <w:t xml:space="preserve"> Compstat</w:t>
      </w:r>
      <w:r w:rsidR="00FB02B4">
        <w:rPr>
          <w:rFonts w:cs="Tahoma"/>
          <w:sz w:val="24"/>
          <w:szCs w:val="24"/>
        </w:rPr>
        <w:t xml:space="preserve"> portion of the ILP meetings</w:t>
      </w:r>
      <w:r>
        <w:rPr>
          <w:rFonts w:cs="Tahoma"/>
          <w:sz w:val="24"/>
          <w:szCs w:val="24"/>
        </w:rPr>
        <w:t xml:space="preserve">.  </w:t>
      </w:r>
      <w:r w:rsidR="0034396E">
        <w:rPr>
          <w:rFonts w:cs="Tahoma"/>
          <w:sz w:val="24"/>
          <w:szCs w:val="24"/>
        </w:rPr>
        <w:t xml:space="preserve">Directed enforcement is usually based on a single month of information.  </w:t>
      </w:r>
    </w:p>
    <w:p w:rsidR="00FB02B4" w:rsidRDefault="00FB02B4" w:rsidP="008C14A3">
      <w:pPr>
        <w:contextualSpacing/>
        <w:rPr>
          <w:rFonts w:cs="Tahoma"/>
          <w:sz w:val="24"/>
          <w:szCs w:val="24"/>
        </w:rPr>
      </w:pPr>
    </w:p>
    <w:p w:rsidR="004F5BCB" w:rsidRDefault="00FB02B4" w:rsidP="008C14A3">
      <w:pPr>
        <w:contextualSpacing/>
        <w:rPr>
          <w:rFonts w:cs="Tahoma"/>
          <w:sz w:val="24"/>
          <w:szCs w:val="24"/>
        </w:rPr>
      </w:pPr>
      <w:r w:rsidRPr="00FB02B4">
        <w:rPr>
          <w:rFonts w:cs="Tahoma"/>
          <w:sz w:val="24"/>
          <w:szCs w:val="24"/>
          <w:u w:val="single"/>
        </w:rPr>
        <w:t>ILP</w:t>
      </w:r>
      <w:r>
        <w:rPr>
          <w:rFonts w:cs="Tahoma"/>
          <w:sz w:val="24"/>
          <w:szCs w:val="24"/>
        </w:rPr>
        <w:t>: intelligence led policing meetings.  ILPs include Compstat reports, DDACTS reports, Intelligence &amp; Analysis, Traffic directed patrol activities, Crime Suppression Team projects, and Drug Trends.</w:t>
      </w:r>
    </w:p>
    <w:p w:rsidR="00FB02B4" w:rsidRDefault="00FB02B4" w:rsidP="008C14A3">
      <w:pPr>
        <w:contextualSpacing/>
        <w:rPr>
          <w:rFonts w:cs="Tahoma"/>
          <w:b/>
          <w:sz w:val="24"/>
          <w:szCs w:val="24"/>
        </w:rPr>
      </w:pPr>
    </w:p>
    <w:p w:rsidR="009B6761" w:rsidRDefault="009B6761" w:rsidP="008C14A3">
      <w:pPr>
        <w:contextualSpacing/>
        <w:rPr>
          <w:rFonts w:cs="Tahoma"/>
          <w:b/>
          <w:sz w:val="24"/>
          <w:szCs w:val="24"/>
        </w:rPr>
      </w:pPr>
    </w:p>
    <w:p w:rsidR="00CD5265" w:rsidRDefault="00CD5265" w:rsidP="008C14A3">
      <w:pPr>
        <w:contextualSpacing/>
        <w:rPr>
          <w:rFonts w:cs="Tahoma"/>
          <w:b/>
          <w:sz w:val="24"/>
          <w:szCs w:val="24"/>
        </w:rPr>
      </w:pPr>
      <w:r>
        <w:rPr>
          <w:rFonts w:cs="Tahoma"/>
          <w:b/>
          <w:sz w:val="24"/>
          <w:szCs w:val="24"/>
        </w:rPr>
        <w:lastRenderedPageBreak/>
        <w:t>Goals</w:t>
      </w:r>
    </w:p>
    <w:p w:rsidR="00CE3C3C" w:rsidRPr="00CE3C3C" w:rsidRDefault="00CE3C3C" w:rsidP="00CE3C3C">
      <w:pPr>
        <w:pStyle w:val="ListParagraph"/>
        <w:numPr>
          <w:ilvl w:val="0"/>
          <w:numId w:val="6"/>
        </w:numPr>
        <w:rPr>
          <w:rFonts w:cs="Tahoma"/>
          <w:sz w:val="24"/>
          <w:szCs w:val="24"/>
        </w:rPr>
      </w:pPr>
      <w:r>
        <w:rPr>
          <w:rFonts w:cs="Tahoma"/>
          <w:b/>
          <w:sz w:val="24"/>
          <w:szCs w:val="24"/>
        </w:rPr>
        <w:t xml:space="preserve">One Year: </w:t>
      </w:r>
    </w:p>
    <w:p w:rsidR="00CE3C3C" w:rsidRDefault="00CE3C3C" w:rsidP="00CE3C3C">
      <w:pPr>
        <w:pStyle w:val="ListParagraph"/>
        <w:numPr>
          <w:ilvl w:val="0"/>
          <w:numId w:val="7"/>
        </w:numPr>
        <w:rPr>
          <w:rFonts w:cs="Tahoma"/>
          <w:sz w:val="24"/>
          <w:szCs w:val="24"/>
        </w:rPr>
      </w:pPr>
      <w:r>
        <w:rPr>
          <w:rFonts w:cs="Tahoma"/>
          <w:sz w:val="24"/>
          <w:szCs w:val="24"/>
        </w:rPr>
        <w:t>Increase enforcement contacts</w:t>
      </w:r>
      <w:r w:rsidR="00FA1F89">
        <w:rPr>
          <w:rFonts w:cs="Tahoma"/>
          <w:sz w:val="24"/>
          <w:szCs w:val="24"/>
        </w:rPr>
        <w:t xml:space="preserve"> by 20 percent in DDACTS Zone</w:t>
      </w:r>
      <w:r>
        <w:rPr>
          <w:rFonts w:cs="Tahoma"/>
          <w:sz w:val="24"/>
          <w:szCs w:val="24"/>
        </w:rPr>
        <w:t>.</w:t>
      </w:r>
    </w:p>
    <w:p w:rsidR="00CE3C3C" w:rsidRDefault="00CE3C3C" w:rsidP="00CE3C3C">
      <w:pPr>
        <w:pStyle w:val="ListParagraph"/>
        <w:numPr>
          <w:ilvl w:val="0"/>
          <w:numId w:val="7"/>
        </w:numPr>
        <w:rPr>
          <w:rFonts w:cs="Tahoma"/>
          <w:sz w:val="24"/>
          <w:szCs w:val="24"/>
        </w:rPr>
      </w:pPr>
      <w:r>
        <w:rPr>
          <w:rFonts w:cs="Tahoma"/>
          <w:sz w:val="24"/>
          <w:szCs w:val="24"/>
        </w:rPr>
        <w:t>Increase community reporting a</w:t>
      </w:r>
      <w:r w:rsidR="00FA1F89">
        <w:rPr>
          <w:rFonts w:cs="Tahoma"/>
          <w:sz w:val="24"/>
          <w:szCs w:val="24"/>
        </w:rPr>
        <w:t>nd involvement in DDACTS Zone</w:t>
      </w:r>
      <w:r>
        <w:rPr>
          <w:rFonts w:cs="Tahoma"/>
          <w:sz w:val="24"/>
          <w:szCs w:val="24"/>
        </w:rPr>
        <w:t>.</w:t>
      </w:r>
    </w:p>
    <w:p w:rsidR="00B25FFC" w:rsidRDefault="00CD5265" w:rsidP="00700BF5">
      <w:pPr>
        <w:pStyle w:val="ListParagraph"/>
        <w:numPr>
          <w:ilvl w:val="0"/>
          <w:numId w:val="7"/>
        </w:numPr>
        <w:rPr>
          <w:rFonts w:cs="Tahoma"/>
          <w:sz w:val="24"/>
          <w:szCs w:val="24"/>
        </w:rPr>
      </w:pPr>
      <w:r w:rsidRPr="00CE3C3C">
        <w:rPr>
          <w:rFonts w:cs="Tahoma"/>
          <w:sz w:val="24"/>
          <w:szCs w:val="24"/>
        </w:rPr>
        <w:t xml:space="preserve">Reduce targeted crimes </w:t>
      </w:r>
      <w:r w:rsidR="00FA1F89">
        <w:rPr>
          <w:rFonts w:cs="Tahoma"/>
          <w:sz w:val="24"/>
          <w:szCs w:val="24"/>
        </w:rPr>
        <w:t xml:space="preserve">in DDACTS Zone </w:t>
      </w:r>
      <w:r w:rsidRPr="00CE3C3C">
        <w:rPr>
          <w:rFonts w:cs="Tahoma"/>
          <w:sz w:val="24"/>
          <w:szCs w:val="24"/>
        </w:rPr>
        <w:t xml:space="preserve">by </w:t>
      </w:r>
      <w:r w:rsidR="00700BF5">
        <w:rPr>
          <w:rFonts w:cs="Tahoma"/>
          <w:sz w:val="24"/>
          <w:szCs w:val="24"/>
        </w:rPr>
        <w:t xml:space="preserve">ten </w:t>
      </w:r>
      <w:r w:rsidR="00CE3C3C">
        <w:rPr>
          <w:rFonts w:cs="Tahoma"/>
          <w:sz w:val="24"/>
          <w:szCs w:val="24"/>
        </w:rPr>
        <w:t>pe</w:t>
      </w:r>
      <w:r w:rsidR="00700BF5">
        <w:rPr>
          <w:rFonts w:cs="Tahoma"/>
          <w:sz w:val="24"/>
          <w:szCs w:val="24"/>
        </w:rPr>
        <w:t>rcent.</w:t>
      </w:r>
      <w:r w:rsidR="00CE3C3C">
        <w:rPr>
          <w:rFonts w:cs="Tahoma"/>
          <w:sz w:val="24"/>
          <w:szCs w:val="24"/>
        </w:rPr>
        <w:t xml:space="preserve">  </w:t>
      </w:r>
    </w:p>
    <w:p w:rsidR="00FA1F89" w:rsidRPr="00700BF5" w:rsidRDefault="00FA1F89" w:rsidP="00700BF5">
      <w:pPr>
        <w:pStyle w:val="ListParagraph"/>
        <w:numPr>
          <w:ilvl w:val="0"/>
          <w:numId w:val="7"/>
        </w:numPr>
        <w:rPr>
          <w:rFonts w:cs="Tahoma"/>
          <w:sz w:val="24"/>
          <w:szCs w:val="24"/>
        </w:rPr>
      </w:pPr>
      <w:r>
        <w:rPr>
          <w:rFonts w:cs="Tahoma"/>
          <w:sz w:val="24"/>
          <w:szCs w:val="24"/>
        </w:rPr>
        <w:t>Reduce collisions in DDACTS Zone by 5 percent.</w:t>
      </w:r>
    </w:p>
    <w:p w:rsidR="00B25FFC" w:rsidRPr="00E37E9C" w:rsidRDefault="005E152D" w:rsidP="00EC0CD5">
      <w:pPr>
        <w:pStyle w:val="ListParagraph"/>
        <w:numPr>
          <w:ilvl w:val="0"/>
          <w:numId w:val="6"/>
        </w:numPr>
        <w:spacing w:after="0"/>
        <w:rPr>
          <w:rFonts w:cs="Tahoma"/>
          <w:sz w:val="24"/>
          <w:szCs w:val="24"/>
        </w:rPr>
      </w:pPr>
      <w:r>
        <w:rPr>
          <w:rFonts w:cs="Tahoma"/>
          <w:b/>
          <w:sz w:val="24"/>
          <w:szCs w:val="24"/>
        </w:rPr>
        <w:t>Long Term; End Goal</w:t>
      </w:r>
      <w:r w:rsidR="00E37E9C">
        <w:rPr>
          <w:rFonts w:cs="Tahoma"/>
          <w:b/>
          <w:sz w:val="24"/>
          <w:szCs w:val="24"/>
        </w:rPr>
        <w:t>:</w:t>
      </w:r>
    </w:p>
    <w:p w:rsidR="00E37E9C" w:rsidRPr="00EC0CD5" w:rsidRDefault="00623E20" w:rsidP="00E37E9C">
      <w:pPr>
        <w:pStyle w:val="ListParagraph"/>
        <w:numPr>
          <w:ilvl w:val="0"/>
          <w:numId w:val="9"/>
        </w:numPr>
        <w:spacing w:after="0"/>
        <w:ind w:left="1890"/>
        <w:rPr>
          <w:rFonts w:cs="Tahoma"/>
          <w:sz w:val="24"/>
          <w:szCs w:val="24"/>
        </w:rPr>
      </w:pPr>
      <w:r>
        <w:rPr>
          <w:rFonts w:cs="Tahoma"/>
          <w:sz w:val="24"/>
          <w:szCs w:val="24"/>
        </w:rPr>
        <w:t>Maintain above listed goals for six consecutive months</w:t>
      </w:r>
      <w:r w:rsidR="00700BF5">
        <w:rPr>
          <w:rFonts w:cs="Tahoma"/>
          <w:sz w:val="24"/>
          <w:szCs w:val="24"/>
        </w:rPr>
        <w:t>.</w:t>
      </w:r>
    </w:p>
    <w:p w:rsidR="00CD5265" w:rsidRPr="00CD5265" w:rsidRDefault="00CD5265" w:rsidP="008C14A3">
      <w:pPr>
        <w:contextualSpacing/>
        <w:rPr>
          <w:rFonts w:cs="Tahoma"/>
          <w:sz w:val="24"/>
          <w:szCs w:val="24"/>
        </w:rPr>
      </w:pPr>
    </w:p>
    <w:p w:rsidR="00CD5265" w:rsidRDefault="00CD5265" w:rsidP="008C14A3">
      <w:pPr>
        <w:contextualSpacing/>
        <w:rPr>
          <w:rFonts w:cs="Tahoma"/>
          <w:b/>
          <w:sz w:val="24"/>
          <w:szCs w:val="24"/>
        </w:rPr>
      </w:pPr>
    </w:p>
    <w:p w:rsidR="00A062AF" w:rsidRPr="00A062AF" w:rsidRDefault="00A062AF" w:rsidP="008C14A3">
      <w:pPr>
        <w:contextualSpacing/>
        <w:rPr>
          <w:rFonts w:cs="Tahoma"/>
          <w:b/>
          <w:sz w:val="24"/>
          <w:szCs w:val="24"/>
        </w:rPr>
      </w:pPr>
      <w:r w:rsidRPr="00A062AF">
        <w:rPr>
          <w:rFonts w:cs="Tahoma"/>
          <w:b/>
          <w:sz w:val="24"/>
          <w:szCs w:val="24"/>
        </w:rPr>
        <w:t>Program Management</w:t>
      </w:r>
    </w:p>
    <w:p w:rsidR="00602C65" w:rsidRDefault="00CD3272" w:rsidP="008C14A3">
      <w:pPr>
        <w:contextualSpacing/>
        <w:rPr>
          <w:rFonts w:cs="Tahoma"/>
          <w:sz w:val="24"/>
          <w:szCs w:val="24"/>
        </w:rPr>
      </w:pPr>
      <w:r>
        <w:rPr>
          <w:rFonts w:cs="Tahoma"/>
          <w:sz w:val="24"/>
          <w:szCs w:val="24"/>
        </w:rPr>
        <w:t xml:space="preserve">DDACTS in Gilbert, AZ is operated utilizing the seven guiding principles of DDACTS, according to the DDACTS Operational Guidelines and the training workshops.  This includes: </w:t>
      </w:r>
      <w:r w:rsidRPr="00CD3272">
        <w:rPr>
          <w:rFonts w:cs="Tahoma"/>
          <w:i/>
          <w:sz w:val="24"/>
          <w:szCs w:val="24"/>
        </w:rPr>
        <w:t>(1) partners and stakeholder participation, (2) data collections, (3) data analysis, (4) strategic operations, (5) information sharing and outreach,</w:t>
      </w:r>
      <w:r w:rsidR="006E736C">
        <w:rPr>
          <w:rFonts w:cs="Tahoma"/>
          <w:i/>
          <w:sz w:val="24"/>
          <w:szCs w:val="24"/>
        </w:rPr>
        <w:t xml:space="preserve"> (6) </w:t>
      </w:r>
      <w:r w:rsidRPr="00CD3272">
        <w:rPr>
          <w:rFonts w:cs="Tahoma"/>
          <w:i/>
          <w:sz w:val="24"/>
          <w:szCs w:val="24"/>
        </w:rPr>
        <w:t>monitoring, evaluations, and adjustments, and (7) outcomes</w:t>
      </w:r>
      <w:r>
        <w:rPr>
          <w:rFonts w:cs="Tahoma"/>
          <w:sz w:val="24"/>
          <w:szCs w:val="24"/>
        </w:rPr>
        <w:t xml:space="preserve">.  </w:t>
      </w:r>
      <w:r w:rsidR="00A062AF">
        <w:rPr>
          <w:rFonts w:cs="Tahoma"/>
          <w:sz w:val="24"/>
          <w:szCs w:val="24"/>
        </w:rPr>
        <w:t xml:space="preserve">DDACTS </w:t>
      </w:r>
      <w:r>
        <w:rPr>
          <w:rFonts w:cs="Tahoma"/>
          <w:sz w:val="24"/>
          <w:szCs w:val="24"/>
        </w:rPr>
        <w:t>is</w:t>
      </w:r>
      <w:r w:rsidR="00A062AF">
        <w:rPr>
          <w:rFonts w:cs="Tahoma"/>
          <w:sz w:val="24"/>
          <w:szCs w:val="24"/>
        </w:rPr>
        <w:t xml:space="preserve"> managed within the Special Operations Division</w:t>
      </w:r>
      <w:r w:rsidR="00B61287">
        <w:rPr>
          <w:rFonts w:cs="Tahoma"/>
          <w:sz w:val="24"/>
          <w:szCs w:val="24"/>
        </w:rPr>
        <w:t xml:space="preserve"> by the Special Operations Commander</w:t>
      </w:r>
      <w:r w:rsidR="00A062AF">
        <w:rPr>
          <w:rFonts w:cs="Tahoma"/>
          <w:sz w:val="24"/>
          <w:szCs w:val="24"/>
        </w:rPr>
        <w:t xml:space="preserve">.  The Special Operations Division includes the Criminal Investigations Section, Special Enforcement Section, and Tactical Operations Sections.  </w:t>
      </w:r>
      <w:r w:rsidR="0093770E">
        <w:rPr>
          <w:rFonts w:cs="Tahoma"/>
          <w:sz w:val="24"/>
          <w:szCs w:val="24"/>
        </w:rPr>
        <w:t xml:space="preserve">The Special Operations Commander </w:t>
      </w:r>
      <w:r>
        <w:rPr>
          <w:rFonts w:cs="Tahoma"/>
          <w:sz w:val="24"/>
          <w:szCs w:val="24"/>
        </w:rPr>
        <w:t>has</w:t>
      </w:r>
      <w:r w:rsidR="0093770E">
        <w:rPr>
          <w:rFonts w:cs="Tahoma"/>
          <w:sz w:val="24"/>
          <w:szCs w:val="24"/>
        </w:rPr>
        <w:t xml:space="preserve"> overall o</w:t>
      </w:r>
      <w:r w:rsidR="00B61287">
        <w:rPr>
          <w:rFonts w:cs="Tahoma"/>
          <w:sz w:val="24"/>
          <w:szCs w:val="24"/>
        </w:rPr>
        <w:t>peratio</w:t>
      </w:r>
      <w:r w:rsidR="004F5BCB">
        <w:rPr>
          <w:rFonts w:cs="Tahoma"/>
          <w:sz w:val="24"/>
          <w:szCs w:val="24"/>
        </w:rPr>
        <w:t>nal management responsibilities</w:t>
      </w:r>
      <w:r w:rsidR="00B61287">
        <w:rPr>
          <w:rFonts w:cs="Tahoma"/>
          <w:sz w:val="24"/>
          <w:szCs w:val="24"/>
        </w:rPr>
        <w:t xml:space="preserve">.  </w:t>
      </w:r>
      <w:r w:rsidR="00602C65">
        <w:rPr>
          <w:rFonts w:cs="Tahoma"/>
          <w:sz w:val="24"/>
          <w:szCs w:val="24"/>
        </w:rPr>
        <w:t xml:space="preserve">The Commander </w:t>
      </w:r>
      <w:r w:rsidR="004F5BCB">
        <w:rPr>
          <w:rFonts w:cs="Tahoma"/>
          <w:sz w:val="24"/>
          <w:szCs w:val="24"/>
        </w:rPr>
        <w:t>provide</w:t>
      </w:r>
      <w:r>
        <w:rPr>
          <w:rFonts w:cs="Tahoma"/>
          <w:sz w:val="24"/>
          <w:szCs w:val="24"/>
        </w:rPr>
        <w:t>s</w:t>
      </w:r>
      <w:r w:rsidR="004F5BCB">
        <w:rPr>
          <w:rFonts w:cs="Tahoma"/>
          <w:sz w:val="24"/>
          <w:szCs w:val="24"/>
        </w:rPr>
        <w:t xml:space="preserve"> direction to the </w:t>
      </w:r>
      <w:r w:rsidR="00BF2063">
        <w:rPr>
          <w:rFonts w:cs="Tahoma"/>
          <w:sz w:val="24"/>
          <w:szCs w:val="24"/>
        </w:rPr>
        <w:t xml:space="preserve">Special Enforcement </w:t>
      </w:r>
      <w:r w:rsidR="00602C65">
        <w:rPr>
          <w:rFonts w:cs="Tahoma"/>
          <w:sz w:val="24"/>
          <w:szCs w:val="24"/>
        </w:rPr>
        <w:t>Lieutenant</w:t>
      </w:r>
      <w:r w:rsidR="004F5BCB">
        <w:rPr>
          <w:rFonts w:cs="Tahoma"/>
          <w:sz w:val="24"/>
          <w:szCs w:val="24"/>
        </w:rPr>
        <w:t>, who</w:t>
      </w:r>
      <w:r w:rsidR="00602C65">
        <w:rPr>
          <w:rFonts w:cs="Tahoma"/>
          <w:sz w:val="24"/>
          <w:szCs w:val="24"/>
        </w:rPr>
        <w:t xml:space="preserve"> </w:t>
      </w:r>
      <w:r>
        <w:rPr>
          <w:rFonts w:cs="Tahoma"/>
          <w:sz w:val="24"/>
          <w:szCs w:val="24"/>
        </w:rPr>
        <w:t>has</w:t>
      </w:r>
      <w:r w:rsidR="00602C65">
        <w:rPr>
          <w:rFonts w:cs="Tahoma"/>
          <w:sz w:val="24"/>
          <w:szCs w:val="24"/>
        </w:rPr>
        <w:t xml:space="preserve"> the primary </w:t>
      </w:r>
      <w:r w:rsidR="004F5BCB">
        <w:rPr>
          <w:rFonts w:cs="Tahoma"/>
          <w:sz w:val="24"/>
          <w:szCs w:val="24"/>
        </w:rPr>
        <w:t>role</w:t>
      </w:r>
      <w:r w:rsidR="00602C65">
        <w:rPr>
          <w:rFonts w:cs="Tahoma"/>
          <w:sz w:val="24"/>
          <w:szCs w:val="24"/>
        </w:rPr>
        <w:t xml:space="preserve"> </w:t>
      </w:r>
      <w:r w:rsidR="004F5BCB">
        <w:rPr>
          <w:rFonts w:cs="Tahoma"/>
          <w:sz w:val="24"/>
          <w:szCs w:val="24"/>
        </w:rPr>
        <w:t>i</w:t>
      </w:r>
      <w:r w:rsidR="00602C65">
        <w:rPr>
          <w:rFonts w:cs="Tahoma"/>
          <w:sz w:val="24"/>
          <w:szCs w:val="24"/>
        </w:rPr>
        <w:t xml:space="preserve">n planning and developing the DDACTS operational plan, </w:t>
      </w:r>
      <w:r w:rsidR="004F5BCB">
        <w:rPr>
          <w:rFonts w:cs="Tahoma"/>
          <w:sz w:val="24"/>
          <w:szCs w:val="24"/>
        </w:rPr>
        <w:t>and implementing the plan</w:t>
      </w:r>
      <w:r w:rsidR="00602C65">
        <w:rPr>
          <w:rFonts w:cs="Tahoma"/>
          <w:sz w:val="24"/>
          <w:szCs w:val="24"/>
        </w:rPr>
        <w:t xml:space="preserve"> into action.  </w:t>
      </w:r>
      <w:r w:rsidR="00BF2063">
        <w:rPr>
          <w:rFonts w:cs="Tahoma"/>
          <w:sz w:val="24"/>
          <w:szCs w:val="24"/>
        </w:rPr>
        <w:t xml:space="preserve">The Special </w:t>
      </w:r>
      <w:r w:rsidR="00C976EB">
        <w:rPr>
          <w:rFonts w:cs="Tahoma"/>
          <w:sz w:val="24"/>
          <w:szCs w:val="24"/>
        </w:rPr>
        <w:t>Enforcement</w:t>
      </w:r>
      <w:r w:rsidR="00BF2063">
        <w:rPr>
          <w:rFonts w:cs="Tahoma"/>
          <w:sz w:val="24"/>
          <w:szCs w:val="24"/>
        </w:rPr>
        <w:t xml:space="preserve"> Lieutenant </w:t>
      </w:r>
      <w:r>
        <w:rPr>
          <w:rFonts w:cs="Tahoma"/>
          <w:sz w:val="24"/>
          <w:szCs w:val="24"/>
        </w:rPr>
        <w:t>has responsibility for</w:t>
      </w:r>
      <w:r w:rsidR="00BF2063">
        <w:rPr>
          <w:rFonts w:cs="Tahoma"/>
          <w:sz w:val="24"/>
          <w:szCs w:val="24"/>
        </w:rPr>
        <w:t xml:space="preserve"> plan </w:t>
      </w:r>
      <w:r>
        <w:rPr>
          <w:rFonts w:cs="Tahoma"/>
          <w:sz w:val="24"/>
          <w:szCs w:val="24"/>
        </w:rPr>
        <w:t>design, with</w:t>
      </w:r>
      <w:r w:rsidR="00BF2063">
        <w:rPr>
          <w:rFonts w:cs="Tahoma"/>
          <w:sz w:val="24"/>
          <w:szCs w:val="24"/>
        </w:rPr>
        <w:t xml:space="preserve"> the </w:t>
      </w:r>
      <w:r>
        <w:rPr>
          <w:rFonts w:cs="Tahoma"/>
          <w:sz w:val="24"/>
          <w:szCs w:val="24"/>
        </w:rPr>
        <w:t>c</w:t>
      </w:r>
      <w:r w:rsidR="00BF2063">
        <w:rPr>
          <w:rFonts w:cs="Tahoma"/>
          <w:sz w:val="24"/>
          <w:szCs w:val="24"/>
        </w:rPr>
        <w:t xml:space="preserve">ommander’s </w:t>
      </w:r>
      <w:r w:rsidR="009B6761">
        <w:rPr>
          <w:rFonts w:cs="Tahoma"/>
          <w:sz w:val="24"/>
          <w:szCs w:val="24"/>
        </w:rPr>
        <w:t>consultation</w:t>
      </w:r>
      <w:r w:rsidR="00BF2063">
        <w:rPr>
          <w:rFonts w:cs="Tahoma"/>
          <w:sz w:val="24"/>
          <w:szCs w:val="24"/>
        </w:rPr>
        <w:t xml:space="preserve"> </w:t>
      </w:r>
      <w:r>
        <w:rPr>
          <w:rFonts w:cs="Tahoma"/>
          <w:sz w:val="24"/>
          <w:szCs w:val="24"/>
        </w:rPr>
        <w:t>and</w:t>
      </w:r>
      <w:r w:rsidR="00BF2063">
        <w:rPr>
          <w:rFonts w:cs="Tahoma"/>
          <w:sz w:val="24"/>
          <w:szCs w:val="24"/>
        </w:rPr>
        <w:t xml:space="preserve"> information provided by the </w:t>
      </w:r>
      <w:r w:rsidR="005E152D">
        <w:rPr>
          <w:rFonts w:cs="Tahoma"/>
          <w:sz w:val="24"/>
          <w:szCs w:val="24"/>
        </w:rPr>
        <w:t>Intel</w:t>
      </w:r>
      <w:r w:rsidR="00BF2063">
        <w:rPr>
          <w:rFonts w:cs="Tahoma"/>
          <w:sz w:val="24"/>
          <w:szCs w:val="24"/>
        </w:rPr>
        <w:t xml:space="preserve"> and Analy</w:t>
      </w:r>
      <w:r w:rsidR="00601DCE">
        <w:rPr>
          <w:rFonts w:cs="Tahoma"/>
          <w:sz w:val="24"/>
          <w:szCs w:val="24"/>
        </w:rPr>
        <w:t xml:space="preserve">sis Unit and other stakeholders (Tactical Ops LT, </w:t>
      </w:r>
      <w:r w:rsidR="004676B9">
        <w:rPr>
          <w:rFonts w:cs="Tahoma"/>
          <w:sz w:val="24"/>
          <w:szCs w:val="24"/>
        </w:rPr>
        <w:t xml:space="preserve">CIS LT, Patrol, </w:t>
      </w:r>
      <w:r w:rsidR="00601DCE">
        <w:rPr>
          <w:rFonts w:cs="Tahoma"/>
          <w:sz w:val="24"/>
          <w:szCs w:val="24"/>
        </w:rPr>
        <w:t>CST’s…)</w:t>
      </w:r>
      <w:r>
        <w:rPr>
          <w:rFonts w:cs="Tahoma"/>
          <w:sz w:val="24"/>
          <w:szCs w:val="24"/>
        </w:rPr>
        <w:t>.</w:t>
      </w:r>
      <w:r w:rsidR="00601DCE">
        <w:rPr>
          <w:rFonts w:cs="Tahoma"/>
          <w:sz w:val="24"/>
          <w:szCs w:val="24"/>
        </w:rPr>
        <w:t xml:space="preserve"> </w:t>
      </w:r>
      <w:r>
        <w:rPr>
          <w:rFonts w:cs="Tahoma"/>
          <w:sz w:val="24"/>
          <w:szCs w:val="24"/>
        </w:rPr>
        <w:t xml:space="preserve"> </w:t>
      </w:r>
      <w:r w:rsidR="00C976EB">
        <w:rPr>
          <w:rFonts w:cs="Tahoma"/>
          <w:sz w:val="24"/>
          <w:szCs w:val="24"/>
        </w:rPr>
        <w:t xml:space="preserve">The Special Enforcement Lieutenant </w:t>
      </w:r>
      <w:r>
        <w:rPr>
          <w:rFonts w:cs="Tahoma"/>
          <w:sz w:val="24"/>
          <w:szCs w:val="24"/>
        </w:rPr>
        <w:t>is</w:t>
      </w:r>
      <w:r w:rsidR="00C976EB">
        <w:rPr>
          <w:rFonts w:cs="Tahoma"/>
          <w:sz w:val="24"/>
          <w:szCs w:val="24"/>
        </w:rPr>
        <w:t xml:space="preserve"> responsible for communication to the affected public within the determined </w:t>
      </w:r>
      <w:r w:rsidR="004F5BCB">
        <w:rPr>
          <w:rFonts w:cs="Tahoma"/>
          <w:sz w:val="24"/>
          <w:szCs w:val="24"/>
        </w:rPr>
        <w:t>DDACTS zone</w:t>
      </w:r>
      <w:r w:rsidR="00C976EB">
        <w:rPr>
          <w:rFonts w:cs="Tahoma"/>
          <w:sz w:val="24"/>
          <w:szCs w:val="24"/>
        </w:rPr>
        <w:t xml:space="preserve">, for community education and support, as well as responsibility for managing the tactical plan and enforcement.  </w:t>
      </w:r>
      <w:r w:rsidR="009B6761">
        <w:rPr>
          <w:rFonts w:cs="Tahoma"/>
          <w:sz w:val="24"/>
          <w:szCs w:val="24"/>
        </w:rPr>
        <w:t>Community education</w:t>
      </w:r>
      <w:r w:rsidR="00C976EB">
        <w:rPr>
          <w:rFonts w:cs="Tahoma"/>
          <w:sz w:val="24"/>
          <w:szCs w:val="24"/>
        </w:rPr>
        <w:t xml:space="preserve"> will be done through HOA’s, Chamber of Commerce, media, and other public or professional groups to be affected.  An information flow </w:t>
      </w:r>
      <w:r>
        <w:rPr>
          <w:rFonts w:cs="Tahoma"/>
          <w:sz w:val="24"/>
          <w:szCs w:val="24"/>
        </w:rPr>
        <w:t>is</w:t>
      </w:r>
      <w:r w:rsidR="00C976EB">
        <w:rPr>
          <w:rFonts w:cs="Tahoma"/>
          <w:sz w:val="24"/>
          <w:szCs w:val="24"/>
        </w:rPr>
        <w:t xml:space="preserve"> required between the Special Enforcement Lieutenant, the Special Operations Commander, Crime and Analysis Unit</w:t>
      </w:r>
      <w:r w:rsidR="009B6761">
        <w:rPr>
          <w:rFonts w:cs="Tahoma"/>
          <w:sz w:val="24"/>
          <w:szCs w:val="24"/>
        </w:rPr>
        <w:t>, and enforcement units</w:t>
      </w:r>
      <w:r w:rsidR="00C976EB">
        <w:rPr>
          <w:rFonts w:cs="Tahoma"/>
          <w:sz w:val="24"/>
          <w:szCs w:val="24"/>
        </w:rPr>
        <w:t xml:space="preserve">.  </w:t>
      </w:r>
      <w:r w:rsidR="00BF2063">
        <w:rPr>
          <w:rFonts w:cs="Tahoma"/>
          <w:sz w:val="24"/>
          <w:szCs w:val="24"/>
        </w:rPr>
        <w:t xml:space="preserve">The Commander </w:t>
      </w:r>
      <w:r w:rsidR="009B6761">
        <w:rPr>
          <w:rFonts w:cs="Tahoma"/>
          <w:sz w:val="24"/>
          <w:szCs w:val="24"/>
        </w:rPr>
        <w:t xml:space="preserve">or designee </w:t>
      </w:r>
      <w:r w:rsidR="00BF2063">
        <w:rPr>
          <w:rFonts w:cs="Tahoma"/>
          <w:sz w:val="24"/>
          <w:szCs w:val="24"/>
        </w:rPr>
        <w:t xml:space="preserve">will provide monthly </w:t>
      </w:r>
      <w:r w:rsidR="00C976EB">
        <w:rPr>
          <w:rFonts w:cs="Tahoma"/>
          <w:sz w:val="24"/>
          <w:szCs w:val="24"/>
        </w:rPr>
        <w:t xml:space="preserve">progress </w:t>
      </w:r>
      <w:r w:rsidR="00BF2063">
        <w:rPr>
          <w:rFonts w:cs="Tahoma"/>
          <w:sz w:val="24"/>
          <w:szCs w:val="24"/>
        </w:rPr>
        <w:t xml:space="preserve">report cards at </w:t>
      </w:r>
      <w:r w:rsidR="005E152D">
        <w:rPr>
          <w:rFonts w:cs="Tahoma"/>
          <w:sz w:val="24"/>
          <w:szCs w:val="24"/>
        </w:rPr>
        <w:t>the ILP</w:t>
      </w:r>
      <w:r w:rsidR="00BF2063">
        <w:rPr>
          <w:rFonts w:cs="Tahoma"/>
          <w:sz w:val="24"/>
          <w:szCs w:val="24"/>
        </w:rPr>
        <w:t xml:space="preserve"> monthly meetings as well as six month final report cards on the program.  </w:t>
      </w:r>
    </w:p>
    <w:p w:rsidR="00C976EB" w:rsidRDefault="00C976EB" w:rsidP="008C14A3">
      <w:pPr>
        <w:contextualSpacing/>
        <w:rPr>
          <w:rFonts w:cs="Tahoma"/>
          <w:sz w:val="24"/>
          <w:szCs w:val="24"/>
        </w:rPr>
      </w:pPr>
    </w:p>
    <w:p w:rsidR="00C976EB" w:rsidRDefault="00C976EB" w:rsidP="008C14A3">
      <w:pPr>
        <w:contextualSpacing/>
        <w:rPr>
          <w:rFonts w:cs="Tahoma"/>
          <w:sz w:val="24"/>
          <w:szCs w:val="24"/>
        </w:rPr>
      </w:pPr>
    </w:p>
    <w:p w:rsidR="00C976EB" w:rsidRDefault="00C976EB" w:rsidP="00C976EB">
      <w:pPr>
        <w:contextualSpacing/>
        <w:rPr>
          <w:rFonts w:cs="Tahoma"/>
          <w:b/>
          <w:sz w:val="24"/>
          <w:szCs w:val="24"/>
        </w:rPr>
      </w:pPr>
      <w:r>
        <w:rPr>
          <w:rFonts w:cs="Tahoma"/>
          <w:b/>
          <w:sz w:val="24"/>
          <w:szCs w:val="24"/>
        </w:rPr>
        <w:t>Intelligence Gathering and Data Analysis</w:t>
      </w:r>
    </w:p>
    <w:p w:rsidR="004676B9" w:rsidRDefault="00B61287" w:rsidP="00C976EB">
      <w:pPr>
        <w:contextualSpacing/>
        <w:rPr>
          <w:rFonts w:cs="Tahoma"/>
          <w:sz w:val="24"/>
          <w:szCs w:val="24"/>
        </w:rPr>
      </w:pPr>
      <w:r>
        <w:rPr>
          <w:rFonts w:cs="Tahoma"/>
          <w:sz w:val="24"/>
          <w:szCs w:val="24"/>
        </w:rPr>
        <w:t xml:space="preserve">One of the primary affected units within the division </w:t>
      </w:r>
      <w:r w:rsidR="00C976EB">
        <w:rPr>
          <w:rFonts w:cs="Tahoma"/>
          <w:sz w:val="24"/>
          <w:szCs w:val="24"/>
        </w:rPr>
        <w:t xml:space="preserve">is the </w:t>
      </w:r>
      <w:r w:rsidR="005E152D">
        <w:rPr>
          <w:rFonts w:cs="Tahoma"/>
          <w:sz w:val="24"/>
          <w:szCs w:val="24"/>
        </w:rPr>
        <w:t>Intel</w:t>
      </w:r>
      <w:r w:rsidR="00C976EB">
        <w:rPr>
          <w:rFonts w:cs="Tahoma"/>
          <w:sz w:val="24"/>
          <w:szCs w:val="24"/>
        </w:rPr>
        <w:t xml:space="preserve"> and Analysis Unit.  The crime analysts in this unit</w:t>
      </w:r>
      <w:r w:rsidR="004676B9">
        <w:rPr>
          <w:rFonts w:cs="Tahoma"/>
          <w:sz w:val="24"/>
          <w:szCs w:val="24"/>
        </w:rPr>
        <w:t>, as related to this program,</w:t>
      </w:r>
      <w:r w:rsidR="00C976EB">
        <w:rPr>
          <w:rFonts w:cs="Tahoma"/>
          <w:sz w:val="24"/>
          <w:szCs w:val="24"/>
        </w:rPr>
        <w:t xml:space="preserve"> are responsible for gathering </w:t>
      </w:r>
      <w:r w:rsidR="00DB3272">
        <w:rPr>
          <w:rFonts w:cs="Tahoma"/>
          <w:sz w:val="24"/>
          <w:szCs w:val="24"/>
        </w:rPr>
        <w:t>five</w:t>
      </w:r>
      <w:r w:rsidR="00C976EB">
        <w:rPr>
          <w:rFonts w:cs="Tahoma"/>
          <w:sz w:val="24"/>
          <w:szCs w:val="24"/>
        </w:rPr>
        <w:t xml:space="preserve"> years of historical data on collisions and crime.  The specific crimes being analyzed under this program </w:t>
      </w:r>
      <w:r w:rsidR="00C976EB">
        <w:rPr>
          <w:rFonts w:cs="Tahoma"/>
          <w:sz w:val="24"/>
          <w:szCs w:val="24"/>
        </w:rPr>
        <w:lastRenderedPageBreak/>
        <w:t>are: vehicle burglary and theft, comme</w:t>
      </w:r>
      <w:r w:rsidR="005E152D">
        <w:rPr>
          <w:rFonts w:cs="Tahoma"/>
          <w:sz w:val="24"/>
          <w:szCs w:val="24"/>
        </w:rPr>
        <w:t>rcial and residential burglary</w:t>
      </w:r>
      <w:r w:rsidR="00C976EB">
        <w:rPr>
          <w:rFonts w:cs="Tahoma"/>
          <w:sz w:val="24"/>
          <w:szCs w:val="24"/>
        </w:rPr>
        <w:t xml:space="preserve">, </w:t>
      </w:r>
      <w:r w:rsidR="00392BB2">
        <w:rPr>
          <w:rFonts w:cs="Tahoma"/>
          <w:sz w:val="24"/>
          <w:szCs w:val="24"/>
        </w:rPr>
        <w:t xml:space="preserve">shoplifting </w:t>
      </w:r>
      <w:r w:rsidR="00C976EB">
        <w:rPr>
          <w:rFonts w:cs="Tahoma"/>
          <w:sz w:val="24"/>
          <w:szCs w:val="24"/>
        </w:rPr>
        <w:t xml:space="preserve">and violent stranger crime.  </w:t>
      </w:r>
      <w:r w:rsidR="004676B9">
        <w:rPr>
          <w:rFonts w:cs="Tahoma"/>
          <w:sz w:val="24"/>
          <w:szCs w:val="24"/>
        </w:rPr>
        <w:t xml:space="preserve">An analysis of crime and </w:t>
      </w:r>
      <w:r w:rsidR="005E152D">
        <w:rPr>
          <w:rFonts w:cs="Tahoma"/>
          <w:sz w:val="24"/>
          <w:szCs w:val="24"/>
        </w:rPr>
        <w:t>collisions</w:t>
      </w:r>
      <w:r w:rsidR="004676B9">
        <w:rPr>
          <w:rFonts w:cs="Tahoma"/>
          <w:sz w:val="24"/>
          <w:szCs w:val="24"/>
        </w:rPr>
        <w:t xml:space="preserve"> will determine where the merged areas of crime and </w:t>
      </w:r>
      <w:r w:rsidR="005E152D">
        <w:rPr>
          <w:rFonts w:cs="Tahoma"/>
          <w:sz w:val="24"/>
          <w:szCs w:val="24"/>
        </w:rPr>
        <w:t>collisions</w:t>
      </w:r>
      <w:r w:rsidR="004676B9">
        <w:rPr>
          <w:rFonts w:cs="Tahoma"/>
          <w:sz w:val="24"/>
          <w:szCs w:val="24"/>
        </w:rPr>
        <w:t xml:space="preserve"> are occurring, so </w:t>
      </w:r>
      <w:r w:rsidR="006B74CC">
        <w:rPr>
          <w:rFonts w:cs="Tahoma"/>
          <w:sz w:val="24"/>
          <w:szCs w:val="24"/>
        </w:rPr>
        <w:t>DDACTS Zo</w:t>
      </w:r>
      <w:r w:rsidR="00377EEA">
        <w:rPr>
          <w:rFonts w:cs="Tahoma"/>
          <w:sz w:val="24"/>
          <w:szCs w:val="24"/>
        </w:rPr>
        <w:t>ne</w:t>
      </w:r>
      <w:r w:rsidR="004676B9">
        <w:rPr>
          <w:rFonts w:cs="Tahoma"/>
          <w:sz w:val="24"/>
          <w:szCs w:val="24"/>
        </w:rPr>
        <w:t xml:space="preserve"> can be determined for better</w:t>
      </w:r>
      <w:r w:rsidR="00F37080">
        <w:rPr>
          <w:rFonts w:cs="Tahoma"/>
          <w:sz w:val="24"/>
          <w:szCs w:val="24"/>
        </w:rPr>
        <w:t xml:space="preserve"> efficiency and effectiveness in enforcement and community education, in </w:t>
      </w:r>
      <w:r w:rsidR="005E152D">
        <w:rPr>
          <w:rFonts w:cs="Tahoma"/>
          <w:sz w:val="24"/>
          <w:szCs w:val="24"/>
        </w:rPr>
        <w:t xml:space="preserve">an </w:t>
      </w:r>
      <w:r w:rsidR="00F37080">
        <w:rPr>
          <w:rFonts w:cs="Tahoma"/>
          <w:sz w:val="24"/>
          <w:szCs w:val="24"/>
        </w:rPr>
        <w:t>effort to achieve the goals of the Special Operations Division through the DDACTS program.</w:t>
      </w:r>
    </w:p>
    <w:p w:rsidR="004676B9" w:rsidRDefault="004676B9" w:rsidP="00C976EB">
      <w:pPr>
        <w:contextualSpacing/>
        <w:rPr>
          <w:rFonts w:cs="Tahoma"/>
          <w:sz w:val="24"/>
          <w:szCs w:val="24"/>
        </w:rPr>
      </w:pPr>
    </w:p>
    <w:p w:rsidR="00C976EB" w:rsidRDefault="00C976EB" w:rsidP="00131A88">
      <w:pPr>
        <w:pStyle w:val="ListParagraph"/>
        <w:numPr>
          <w:ilvl w:val="0"/>
          <w:numId w:val="6"/>
        </w:numPr>
        <w:rPr>
          <w:rFonts w:cs="Tahoma"/>
          <w:sz w:val="24"/>
          <w:szCs w:val="24"/>
        </w:rPr>
      </w:pPr>
      <w:r w:rsidRPr="00131A88">
        <w:rPr>
          <w:rFonts w:cs="Tahoma"/>
          <w:sz w:val="24"/>
          <w:szCs w:val="24"/>
        </w:rPr>
        <w:t>The</w:t>
      </w:r>
      <w:r w:rsidR="006B74CC" w:rsidRPr="00131A88">
        <w:rPr>
          <w:rFonts w:cs="Tahoma"/>
          <w:sz w:val="24"/>
          <w:szCs w:val="24"/>
        </w:rPr>
        <w:t xml:space="preserve"> GPD</w:t>
      </w:r>
      <w:r w:rsidRPr="00131A88">
        <w:rPr>
          <w:rFonts w:cs="Tahoma"/>
          <w:sz w:val="24"/>
          <w:szCs w:val="24"/>
        </w:rPr>
        <w:t xml:space="preserve"> </w:t>
      </w:r>
      <w:r w:rsidR="009B6761" w:rsidRPr="00131A88">
        <w:rPr>
          <w:rFonts w:cs="Tahoma"/>
          <w:sz w:val="24"/>
          <w:szCs w:val="24"/>
        </w:rPr>
        <w:t>crime analysts have</w:t>
      </w:r>
      <w:r w:rsidRPr="00131A88">
        <w:rPr>
          <w:rFonts w:cs="Tahoma"/>
          <w:sz w:val="24"/>
          <w:szCs w:val="24"/>
        </w:rPr>
        <w:t xml:space="preserve"> extracted the </w:t>
      </w:r>
      <w:r w:rsidR="009B6761" w:rsidRPr="00131A88">
        <w:rPr>
          <w:rFonts w:cs="Tahoma"/>
          <w:sz w:val="24"/>
          <w:szCs w:val="24"/>
        </w:rPr>
        <w:t>data</w:t>
      </w:r>
      <w:r w:rsidRPr="00131A88">
        <w:rPr>
          <w:rFonts w:cs="Tahoma"/>
          <w:sz w:val="24"/>
          <w:szCs w:val="24"/>
        </w:rPr>
        <w:t xml:space="preserve"> for the period of January 20</w:t>
      </w:r>
      <w:r w:rsidR="00392BB2">
        <w:rPr>
          <w:rFonts w:cs="Tahoma"/>
          <w:sz w:val="24"/>
          <w:szCs w:val="24"/>
        </w:rPr>
        <w:t>10</w:t>
      </w:r>
      <w:r w:rsidRPr="00131A88">
        <w:rPr>
          <w:rFonts w:cs="Tahoma"/>
          <w:sz w:val="24"/>
          <w:szCs w:val="24"/>
        </w:rPr>
        <w:t xml:space="preserve"> to December 201</w:t>
      </w:r>
      <w:r w:rsidR="00392BB2">
        <w:rPr>
          <w:rFonts w:cs="Tahoma"/>
          <w:sz w:val="24"/>
          <w:szCs w:val="24"/>
        </w:rPr>
        <w:t>4</w:t>
      </w:r>
      <w:r w:rsidR="00377EEA">
        <w:rPr>
          <w:rFonts w:cs="Tahoma"/>
          <w:sz w:val="24"/>
          <w:szCs w:val="24"/>
        </w:rPr>
        <w:t>, providing a five year historical average,</w:t>
      </w:r>
      <w:r w:rsidRPr="00131A88">
        <w:rPr>
          <w:rFonts w:cs="Tahoma"/>
          <w:sz w:val="24"/>
          <w:szCs w:val="24"/>
        </w:rPr>
        <w:t xml:space="preserve"> and mapped the clusters of crimes and collisions.  Further, the unit has analyzed the data and created </w:t>
      </w:r>
      <w:r w:rsidR="009B6761" w:rsidRPr="00131A88">
        <w:rPr>
          <w:rFonts w:cs="Tahoma"/>
          <w:sz w:val="24"/>
          <w:szCs w:val="24"/>
        </w:rPr>
        <w:t xml:space="preserve">a </w:t>
      </w:r>
      <w:r w:rsidRPr="00131A88">
        <w:rPr>
          <w:rFonts w:cs="Tahoma"/>
          <w:sz w:val="24"/>
          <w:szCs w:val="24"/>
        </w:rPr>
        <w:t>merged, geo-based</w:t>
      </w:r>
      <w:r w:rsidR="009B6761" w:rsidRPr="00131A88">
        <w:rPr>
          <w:rFonts w:cs="Tahoma"/>
          <w:sz w:val="24"/>
          <w:szCs w:val="24"/>
        </w:rPr>
        <w:t xml:space="preserve"> DDACTS zone for enforcement and education related to this program</w:t>
      </w:r>
      <w:r w:rsidRPr="00131A88">
        <w:rPr>
          <w:rFonts w:cs="Tahoma"/>
          <w:sz w:val="24"/>
          <w:szCs w:val="24"/>
        </w:rPr>
        <w:t xml:space="preserve">.  The DDACTS zone will be </w:t>
      </w:r>
      <w:r w:rsidR="00491DF6">
        <w:rPr>
          <w:rFonts w:cs="Tahoma"/>
          <w:sz w:val="24"/>
          <w:szCs w:val="24"/>
        </w:rPr>
        <w:t>an approximate 3</w:t>
      </w:r>
      <w:r w:rsidRPr="00131A88">
        <w:rPr>
          <w:rFonts w:cs="Tahoma"/>
          <w:sz w:val="24"/>
          <w:szCs w:val="24"/>
        </w:rPr>
        <w:t xml:space="preserve"> square mi</w:t>
      </w:r>
      <w:r w:rsidR="004676B9" w:rsidRPr="00131A88">
        <w:rPr>
          <w:rFonts w:cs="Tahoma"/>
          <w:sz w:val="24"/>
          <w:szCs w:val="24"/>
        </w:rPr>
        <w:t xml:space="preserve">le area </w:t>
      </w:r>
      <w:r w:rsidR="00774F80">
        <w:rPr>
          <w:rFonts w:cs="Tahoma"/>
          <w:sz w:val="24"/>
          <w:szCs w:val="24"/>
        </w:rPr>
        <w:t xml:space="preserve">in </w:t>
      </w:r>
      <w:r w:rsidR="00392BB2">
        <w:rPr>
          <w:rFonts w:cs="Tahoma"/>
          <w:sz w:val="24"/>
          <w:szCs w:val="24"/>
        </w:rPr>
        <w:t>South</w:t>
      </w:r>
      <w:r w:rsidR="00774F80">
        <w:rPr>
          <w:rFonts w:cs="Tahoma"/>
          <w:sz w:val="24"/>
          <w:szCs w:val="24"/>
        </w:rPr>
        <w:t xml:space="preserve"> Gilbert</w:t>
      </w:r>
      <w:r w:rsidR="00FE1EE4">
        <w:rPr>
          <w:rFonts w:cs="Tahoma"/>
          <w:sz w:val="24"/>
          <w:szCs w:val="24"/>
        </w:rPr>
        <w:t xml:space="preserve">, </w:t>
      </w:r>
      <w:r w:rsidR="00392BB2">
        <w:rPr>
          <w:rFonts w:cs="Tahoma"/>
          <w:sz w:val="24"/>
          <w:szCs w:val="24"/>
        </w:rPr>
        <w:t>in the Santan North zone</w:t>
      </w:r>
      <w:r w:rsidR="00FE1EE4">
        <w:rPr>
          <w:rFonts w:cs="Tahoma"/>
          <w:sz w:val="24"/>
          <w:szCs w:val="24"/>
        </w:rPr>
        <w:t xml:space="preserve">.  </w:t>
      </w:r>
      <w:r w:rsidR="00A36130">
        <w:rPr>
          <w:rFonts w:cs="Tahoma"/>
          <w:sz w:val="24"/>
          <w:szCs w:val="24"/>
        </w:rPr>
        <w:t xml:space="preserve">This area </w:t>
      </w:r>
      <w:r w:rsidR="006B74CC" w:rsidRPr="00131A88">
        <w:rPr>
          <w:rFonts w:cs="Tahoma"/>
          <w:sz w:val="24"/>
          <w:szCs w:val="24"/>
        </w:rPr>
        <w:t xml:space="preserve">comprises </w:t>
      </w:r>
      <w:r w:rsidR="00491DF6">
        <w:rPr>
          <w:rFonts w:cs="Tahoma"/>
          <w:sz w:val="24"/>
          <w:szCs w:val="24"/>
        </w:rPr>
        <w:t xml:space="preserve">less than </w:t>
      </w:r>
      <w:r w:rsidR="00377EEA">
        <w:rPr>
          <w:rFonts w:cs="Tahoma"/>
          <w:sz w:val="24"/>
          <w:szCs w:val="24"/>
        </w:rPr>
        <w:t>5</w:t>
      </w:r>
      <w:r w:rsidR="006B74CC" w:rsidRPr="00131A88">
        <w:rPr>
          <w:rFonts w:cs="Tahoma"/>
          <w:sz w:val="24"/>
          <w:szCs w:val="24"/>
        </w:rPr>
        <w:t xml:space="preserve"> percent of th</w:t>
      </w:r>
      <w:r w:rsidR="004F68DA">
        <w:rPr>
          <w:rFonts w:cs="Tahoma"/>
          <w:sz w:val="24"/>
          <w:szCs w:val="24"/>
        </w:rPr>
        <w:t xml:space="preserve">e total square miles of Gilbert and averages about </w:t>
      </w:r>
      <w:r w:rsidR="00491DF6">
        <w:rPr>
          <w:rFonts w:cs="Tahoma"/>
          <w:sz w:val="24"/>
          <w:szCs w:val="24"/>
        </w:rPr>
        <w:t>24</w:t>
      </w:r>
      <w:r w:rsidR="004F68DA">
        <w:rPr>
          <w:rFonts w:cs="Tahoma"/>
          <w:sz w:val="24"/>
          <w:szCs w:val="24"/>
        </w:rPr>
        <w:t xml:space="preserve"> collisions, </w:t>
      </w:r>
      <w:r w:rsidR="00491DF6">
        <w:rPr>
          <w:rFonts w:cs="Tahoma"/>
          <w:sz w:val="24"/>
          <w:szCs w:val="24"/>
        </w:rPr>
        <w:t>5</w:t>
      </w:r>
      <w:r w:rsidR="004F68DA">
        <w:rPr>
          <w:rFonts w:cs="Tahoma"/>
          <w:sz w:val="24"/>
          <w:szCs w:val="24"/>
        </w:rPr>
        <w:t xml:space="preserve"> vehicle crimes, </w:t>
      </w:r>
      <w:r w:rsidR="00491DF6">
        <w:rPr>
          <w:rFonts w:cs="Tahoma"/>
          <w:sz w:val="24"/>
          <w:szCs w:val="24"/>
        </w:rPr>
        <w:t>2</w:t>
      </w:r>
      <w:r w:rsidR="004F68DA">
        <w:rPr>
          <w:rFonts w:cs="Tahoma"/>
          <w:sz w:val="24"/>
          <w:szCs w:val="24"/>
        </w:rPr>
        <w:t xml:space="preserve"> burglaries</w:t>
      </w:r>
      <w:r w:rsidR="00491DF6">
        <w:rPr>
          <w:rFonts w:cs="Tahoma"/>
          <w:sz w:val="24"/>
          <w:szCs w:val="24"/>
        </w:rPr>
        <w:t>, 13 shopliftings</w:t>
      </w:r>
      <w:r w:rsidR="004F68DA">
        <w:rPr>
          <w:rFonts w:cs="Tahoma"/>
          <w:sz w:val="24"/>
          <w:szCs w:val="24"/>
        </w:rPr>
        <w:t xml:space="preserve"> and </w:t>
      </w:r>
      <w:r w:rsidR="00491DF6">
        <w:rPr>
          <w:rFonts w:cs="Tahoma"/>
          <w:sz w:val="24"/>
          <w:szCs w:val="24"/>
        </w:rPr>
        <w:t>3</w:t>
      </w:r>
      <w:r w:rsidR="004F68DA">
        <w:rPr>
          <w:rFonts w:cs="Tahoma"/>
          <w:sz w:val="24"/>
          <w:szCs w:val="24"/>
        </w:rPr>
        <w:t xml:space="preserve"> violent crimes per month</w:t>
      </w:r>
      <w:r w:rsidR="00FE1EE4">
        <w:rPr>
          <w:rFonts w:cs="Tahoma"/>
          <w:sz w:val="24"/>
          <w:szCs w:val="24"/>
        </w:rPr>
        <w:t xml:space="preserve">.  </w:t>
      </w:r>
      <w:r w:rsidR="00491DF6">
        <w:rPr>
          <w:rFonts w:cs="Tahoma"/>
          <w:sz w:val="24"/>
          <w:szCs w:val="24"/>
        </w:rPr>
        <w:t>The zone map</w:t>
      </w:r>
      <w:r w:rsidR="00FE1EE4">
        <w:rPr>
          <w:rFonts w:cs="Tahoma"/>
          <w:sz w:val="24"/>
          <w:szCs w:val="24"/>
        </w:rPr>
        <w:t xml:space="preserve"> and the </w:t>
      </w:r>
      <w:r w:rsidR="00685039">
        <w:rPr>
          <w:rFonts w:cs="Tahoma"/>
          <w:sz w:val="24"/>
          <w:szCs w:val="24"/>
        </w:rPr>
        <w:t xml:space="preserve">statistics </w:t>
      </w:r>
      <w:r w:rsidR="00FE1EE4">
        <w:rPr>
          <w:rFonts w:cs="Tahoma"/>
          <w:sz w:val="24"/>
          <w:szCs w:val="24"/>
        </w:rPr>
        <w:t>for the DDACTS zone is</w:t>
      </w:r>
      <w:r w:rsidR="00685039">
        <w:rPr>
          <w:rFonts w:cs="Tahoma"/>
          <w:sz w:val="24"/>
          <w:szCs w:val="24"/>
        </w:rPr>
        <w:t xml:space="preserve"> shown within the </w:t>
      </w:r>
      <w:r w:rsidR="00FE1EE4">
        <w:rPr>
          <w:rFonts w:cs="Tahoma"/>
          <w:sz w:val="24"/>
          <w:szCs w:val="24"/>
        </w:rPr>
        <w:t xml:space="preserve">map and </w:t>
      </w:r>
      <w:r w:rsidR="00685039">
        <w:rPr>
          <w:rFonts w:cs="Tahoma"/>
          <w:sz w:val="24"/>
          <w:szCs w:val="24"/>
        </w:rPr>
        <w:t>chart below:</w:t>
      </w:r>
    </w:p>
    <w:p w:rsidR="00945B08" w:rsidRDefault="00945B08" w:rsidP="00945B08">
      <w:pPr>
        <w:pStyle w:val="ListParagraph"/>
        <w:rPr>
          <w:rFonts w:cs="Tahoma"/>
          <w:sz w:val="24"/>
          <w:szCs w:val="24"/>
        </w:rPr>
      </w:pPr>
    </w:p>
    <w:p w:rsidR="00B279EF" w:rsidRDefault="00551561" w:rsidP="00B279EF">
      <w:pPr>
        <w:pStyle w:val="ListParagraph"/>
        <w:spacing w:after="0"/>
        <w:ind w:left="-90"/>
        <w:jc w:val="center"/>
        <w:rPr>
          <w:rFonts w:cs="Tahoma"/>
          <w:b/>
          <w:sz w:val="24"/>
          <w:szCs w:val="24"/>
        </w:rPr>
      </w:pPr>
      <w:r>
        <w:rPr>
          <w:rFonts w:cs="Tahoma"/>
          <w:b/>
          <w:sz w:val="24"/>
          <w:szCs w:val="24"/>
        </w:rPr>
        <w:t>DDACTS 4 zone map</w:t>
      </w:r>
      <w:r w:rsidR="00EC1497">
        <w:rPr>
          <w:noProof/>
        </w:rPr>
        <w:drawing>
          <wp:inline distT="0" distB="0" distL="0" distR="0" wp14:anchorId="23055037" wp14:editId="1DE3037B">
            <wp:extent cx="5943600" cy="34720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2058"/>
                    </a:xfrm>
                    <a:prstGeom prst="rect">
                      <a:avLst/>
                    </a:prstGeom>
                    <a:noFill/>
                    <a:ln>
                      <a:noFill/>
                    </a:ln>
                  </pic:spPr>
                </pic:pic>
              </a:graphicData>
            </a:graphic>
          </wp:inline>
        </w:drawing>
      </w:r>
      <w:r w:rsidRPr="00551561">
        <w:rPr>
          <w:rFonts w:cs="Tahoma"/>
          <w:b/>
          <w:sz w:val="24"/>
          <w:szCs w:val="24"/>
        </w:rPr>
        <w:lastRenderedPageBreak/>
        <w:t xml:space="preserve">Gilbert Map showing DDACTS #3 and DDACTS #4 </w:t>
      </w:r>
      <w:r>
        <w:rPr>
          <w:rFonts w:cs="Tahoma"/>
          <w:b/>
          <w:sz w:val="24"/>
          <w:szCs w:val="24"/>
        </w:rPr>
        <w:t>locations within the town</w:t>
      </w:r>
      <w:r>
        <w:rPr>
          <w:noProof/>
        </w:rPr>
        <w:drawing>
          <wp:inline distT="0" distB="0" distL="0" distR="0" wp14:anchorId="290953B0" wp14:editId="65DC3DC8">
            <wp:extent cx="6012180" cy="7809981"/>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180" cy="7809981"/>
                    </a:xfrm>
                    <a:prstGeom prst="rect">
                      <a:avLst/>
                    </a:prstGeom>
                    <a:noFill/>
                    <a:ln>
                      <a:noFill/>
                    </a:ln>
                  </pic:spPr>
                </pic:pic>
              </a:graphicData>
            </a:graphic>
          </wp:inline>
        </w:drawing>
      </w:r>
    </w:p>
    <w:p w:rsidR="000C5FDC" w:rsidRPr="00B279EF" w:rsidRDefault="00491DF6" w:rsidP="00B279EF">
      <w:pPr>
        <w:pStyle w:val="ListParagraph"/>
        <w:spacing w:after="0"/>
        <w:ind w:left="-90"/>
        <w:jc w:val="center"/>
        <w:rPr>
          <w:rFonts w:cs="Tahoma"/>
          <w:b/>
          <w:sz w:val="24"/>
          <w:szCs w:val="24"/>
        </w:rPr>
      </w:pPr>
      <w:r w:rsidRPr="00B279EF">
        <w:rPr>
          <w:rFonts w:cs="Tahoma"/>
          <w:b/>
          <w:sz w:val="24"/>
          <w:szCs w:val="24"/>
        </w:rPr>
        <w:lastRenderedPageBreak/>
        <w:t>Focus Crimes, Collisions and Proactive Contacts Breakdown 2010 - 2014</w:t>
      </w:r>
    </w:p>
    <w:tbl>
      <w:tblPr>
        <w:tblW w:w="8205" w:type="dxa"/>
        <w:tblInd w:w="58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80"/>
        <w:gridCol w:w="960"/>
        <w:gridCol w:w="960"/>
        <w:gridCol w:w="960"/>
        <w:gridCol w:w="960"/>
        <w:gridCol w:w="960"/>
        <w:gridCol w:w="1325"/>
      </w:tblGrid>
      <w:tr w:rsidR="00C744E5" w:rsidTr="00551561">
        <w:trPr>
          <w:trHeight w:val="864"/>
        </w:trPr>
        <w:tc>
          <w:tcPr>
            <w:tcW w:w="208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b/>
                <w:bCs/>
                <w:color w:val="000000"/>
              </w:rPr>
            </w:pPr>
            <w:r>
              <w:rPr>
                <w:b/>
                <w:bCs/>
                <w:color w:val="000000"/>
              </w:rPr>
              <w:t>FOCUS CRIMES</w:t>
            </w:r>
          </w:p>
        </w:tc>
        <w:tc>
          <w:tcPr>
            <w:tcW w:w="960" w:type="dxa"/>
            <w:shd w:val="pct10" w:color="auto" w:fill="F2F2F2"/>
            <w:tcMar>
              <w:top w:w="0" w:type="dxa"/>
              <w:left w:w="108" w:type="dxa"/>
              <w:bottom w:w="0" w:type="dxa"/>
              <w:right w:w="108" w:type="dxa"/>
            </w:tcMar>
            <w:vAlign w:val="bottom"/>
            <w:hideMark/>
          </w:tcPr>
          <w:p w:rsidR="00491DF6" w:rsidRPr="00491DF6" w:rsidRDefault="00491DF6">
            <w:pPr>
              <w:jc w:val="center"/>
              <w:rPr>
                <w:rFonts w:ascii="Calibri" w:eastAsiaTheme="minorHAnsi" w:hAnsi="Calibri"/>
                <w:b/>
                <w:bCs/>
                <w:color w:val="000000"/>
                <w:sz w:val="24"/>
              </w:rPr>
            </w:pPr>
            <w:r w:rsidRPr="00491DF6">
              <w:rPr>
                <w:b/>
                <w:bCs/>
                <w:color w:val="000000"/>
                <w:sz w:val="24"/>
              </w:rPr>
              <w:t>2010</w:t>
            </w:r>
          </w:p>
        </w:tc>
        <w:tc>
          <w:tcPr>
            <w:tcW w:w="960" w:type="dxa"/>
            <w:shd w:val="pct10" w:color="auto" w:fill="F2F2F2"/>
            <w:tcMar>
              <w:top w:w="0" w:type="dxa"/>
              <w:left w:w="108" w:type="dxa"/>
              <w:bottom w:w="0" w:type="dxa"/>
              <w:right w:w="108" w:type="dxa"/>
            </w:tcMar>
            <w:vAlign w:val="bottom"/>
            <w:hideMark/>
          </w:tcPr>
          <w:p w:rsidR="00491DF6" w:rsidRDefault="00491DF6">
            <w:pPr>
              <w:jc w:val="center"/>
              <w:rPr>
                <w:rFonts w:ascii="Calibri" w:eastAsiaTheme="minorHAnsi" w:hAnsi="Calibri"/>
                <w:b/>
                <w:bCs/>
                <w:color w:val="000000"/>
              </w:rPr>
            </w:pPr>
            <w:r>
              <w:rPr>
                <w:b/>
                <w:bCs/>
                <w:color w:val="000000"/>
              </w:rPr>
              <w:t>2011</w:t>
            </w:r>
          </w:p>
        </w:tc>
        <w:tc>
          <w:tcPr>
            <w:tcW w:w="960" w:type="dxa"/>
            <w:shd w:val="pct10" w:color="auto" w:fill="F2F2F2"/>
            <w:tcMar>
              <w:top w:w="0" w:type="dxa"/>
              <w:left w:w="108" w:type="dxa"/>
              <w:bottom w:w="0" w:type="dxa"/>
              <w:right w:w="108" w:type="dxa"/>
            </w:tcMar>
            <w:vAlign w:val="bottom"/>
            <w:hideMark/>
          </w:tcPr>
          <w:p w:rsidR="00491DF6" w:rsidRDefault="00491DF6">
            <w:pPr>
              <w:jc w:val="center"/>
              <w:rPr>
                <w:rFonts w:ascii="Calibri" w:eastAsiaTheme="minorHAnsi" w:hAnsi="Calibri"/>
                <w:b/>
                <w:bCs/>
                <w:color w:val="000000"/>
              </w:rPr>
            </w:pPr>
            <w:r>
              <w:rPr>
                <w:b/>
                <w:bCs/>
                <w:color w:val="000000"/>
              </w:rPr>
              <w:t>2012</w:t>
            </w:r>
          </w:p>
        </w:tc>
        <w:tc>
          <w:tcPr>
            <w:tcW w:w="960" w:type="dxa"/>
            <w:shd w:val="pct10" w:color="auto" w:fill="F2F2F2"/>
            <w:tcMar>
              <w:top w:w="0" w:type="dxa"/>
              <w:left w:w="108" w:type="dxa"/>
              <w:bottom w:w="0" w:type="dxa"/>
              <w:right w:w="108" w:type="dxa"/>
            </w:tcMar>
            <w:vAlign w:val="bottom"/>
            <w:hideMark/>
          </w:tcPr>
          <w:p w:rsidR="00491DF6" w:rsidRDefault="00491DF6">
            <w:pPr>
              <w:jc w:val="center"/>
              <w:rPr>
                <w:rFonts w:ascii="Calibri" w:eastAsiaTheme="minorHAnsi" w:hAnsi="Calibri"/>
                <w:b/>
                <w:bCs/>
                <w:color w:val="000000"/>
              </w:rPr>
            </w:pPr>
            <w:r>
              <w:rPr>
                <w:b/>
                <w:bCs/>
                <w:color w:val="000000"/>
              </w:rPr>
              <w:t>2013</w:t>
            </w:r>
          </w:p>
        </w:tc>
        <w:tc>
          <w:tcPr>
            <w:tcW w:w="960" w:type="dxa"/>
            <w:shd w:val="pct10" w:color="auto" w:fill="F2F2F2"/>
            <w:tcMar>
              <w:top w:w="0" w:type="dxa"/>
              <w:left w:w="108" w:type="dxa"/>
              <w:bottom w:w="0" w:type="dxa"/>
              <w:right w:w="108" w:type="dxa"/>
            </w:tcMar>
            <w:vAlign w:val="bottom"/>
            <w:hideMark/>
          </w:tcPr>
          <w:p w:rsidR="00491DF6" w:rsidRDefault="00491DF6">
            <w:pPr>
              <w:jc w:val="center"/>
              <w:rPr>
                <w:rFonts w:ascii="Calibri" w:eastAsiaTheme="minorHAnsi" w:hAnsi="Calibri"/>
                <w:b/>
                <w:bCs/>
                <w:color w:val="000000"/>
              </w:rPr>
            </w:pPr>
            <w:r>
              <w:rPr>
                <w:b/>
                <w:bCs/>
                <w:color w:val="000000"/>
              </w:rPr>
              <w:t>2014</w:t>
            </w:r>
          </w:p>
        </w:tc>
        <w:tc>
          <w:tcPr>
            <w:tcW w:w="1325" w:type="dxa"/>
            <w:shd w:val="pct10" w:color="auto" w:fill="F2F2F2"/>
            <w:tcMar>
              <w:top w:w="0" w:type="dxa"/>
              <w:left w:w="108" w:type="dxa"/>
              <w:bottom w:w="0" w:type="dxa"/>
              <w:right w:w="108" w:type="dxa"/>
            </w:tcMar>
            <w:vAlign w:val="bottom"/>
            <w:hideMark/>
          </w:tcPr>
          <w:p w:rsidR="00491DF6" w:rsidRDefault="00491DF6">
            <w:pPr>
              <w:jc w:val="center"/>
              <w:rPr>
                <w:rFonts w:ascii="Calibri" w:eastAsiaTheme="minorHAnsi" w:hAnsi="Calibri"/>
                <w:b/>
                <w:bCs/>
                <w:color w:val="000000"/>
              </w:rPr>
            </w:pPr>
            <w:r>
              <w:rPr>
                <w:b/>
                <w:bCs/>
                <w:color w:val="000000"/>
              </w:rPr>
              <w:t>5 YR MONTHLY AVG '10-'14</w:t>
            </w:r>
          </w:p>
        </w:tc>
      </w:tr>
      <w:tr w:rsidR="00491DF6" w:rsidTr="00551561">
        <w:trPr>
          <w:trHeight w:val="288"/>
        </w:trPr>
        <w:tc>
          <w:tcPr>
            <w:tcW w:w="2080" w:type="dxa"/>
            <w:shd w:val="clear" w:color="auto" w:fill="FFFFFF"/>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VIOLENT</w:t>
            </w:r>
          </w:p>
        </w:tc>
        <w:tc>
          <w:tcPr>
            <w:tcW w:w="960" w:type="dxa"/>
            <w:shd w:val="clear" w:color="auto" w:fill="FFFFFF"/>
            <w:noWrap/>
            <w:tcMar>
              <w:top w:w="0" w:type="dxa"/>
              <w:left w:w="108" w:type="dxa"/>
              <w:bottom w:w="0" w:type="dxa"/>
              <w:right w:w="108" w:type="dxa"/>
            </w:tcMar>
            <w:vAlign w:val="bottom"/>
            <w:hideMark/>
          </w:tcPr>
          <w:p w:rsidR="00491DF6" w:rsidRPr="00491DF6" w:rsidRDefault="00491DF6">
            <w:pPr>
              <w:jc w:val="right"/>
              <w:rPr>
                <w:rFonts w:ascii="Calibri" w:eastAsiaTheme="minorHAnsi" w:hAnsi="Calibri"/>
                <w:color w:val="000000"/>
                <w:sz w:val="24"/>
              </w:rPr>
            </w:pPr>
            <w:r w:rsidRPr="00491DF6">
              <w:rPr>
                <w:color w:val="000000"/>
                <w:sz w:val="24"/>
              </w:rPr>
              <w:t>21</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26</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28</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27</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30</w:t>
            </w:r>
          </w:p>
        </w:tc>
        <w:tc>
          <w:tcPr>
            <w:tcW w:w="1325"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2.59</w:t>
            </w:r>
          </w:p>
        </w:tc>
      </w:tr>
      <w:tr w:rsidR="00491DF6" w:rsidTr="00551561">
        <w:trPr>
          <w:trHeight w:val="288"/>
        </w:trPr>
        <w:tc>
          <w:tcPr>
            <w:tcW w:w="2080" w:type="dxa"/>
            <w:shd w:val="clear" w:color="auto" w:fill="FFFFFF"/>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BURGLARY</w:t>
            </w:r>
          </w:p>
        </w:tc>
        <w:tc>
          <w:tcPr>
            <w:tcW w:w="960" w:type="dxa"/>
            <w:shd w:val="clear" w:color="auto" w:fill="FFFFFF"/>
            <w:noWrap/>
            <w:tcMar>
              <w:top w:w="0" w:type="dxa"/>
              <w:left w:w="108" w:type="dxa"/>
              <w:bottom w:w="0" w:type="dxa"/>
              <w:right w:w="108" w:type="dxa"/>
            </w:tcMar>
            <w:vAlign w:val="bottom"/>
            <w:hideMark/>
          </w:tcPr>
          <w:p w:rsidR="00491DF6" w:rsidRPr="00491DF6" w:rsidRDefault="00491DF6">
            <w:pPr>
              <w:jc w:val="right"/>
              <w:rPr>
                <w:rFonts w:ascii="Calibri" w:eastAsiaTheme="minorHAnsi" w:hAnsi="Calibri"/>
                <w:color w:val="000000"/>
                <w:sz w:val="24"/>
              </w:rPr>
            </w:pPr>
            <w:r w:rsidRPr="00491DF6">
              <w:rPr>
                <w:color w:val="000000"/>
                <w:sz w:val="24"/>
              </w:rPr>
              <w:t>30</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24</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22</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16</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16</w:t>
            </w:r>
          </w:p>
        </w:tc>
        <w:tc>
          <w:tcPr>
            <w:tcW w:w="1325"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2.08</w:t>
            </w:r>
          </w:p>
        </w:tc>
      </w:tr>
      <w:tr w:rsidR="00491DF6" w:rsidTr="00551561">
        <w:trPr>
          <w:trHeight w:val="288"/>
        </w:trPr>
        <w:tc>
          <w:tcPr>
            <w:tcW w:w="2080" w:type="dxa"/>
            <w:shd w:val="clear" w:color="auto" w:fill="FFFFFF"/>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VEHICLE CRIME</w:t>
            </w:r>
          </w:p>
        </w:tc>
        <w:tc>
          <w:tcPr>
            <w:tcW w:w="960" w:type="dxa"/>
            <w:shd w:val="clear" w:color="auto" w:fill="FFFFFF"/>
            <w:noWrap/>
            <w:tcMar>
              <w:top w:w="0" w:type="dxa"/>
              <w:left w:w="108" w:type="dxa"/>
              <w:bottom w:w="0" w:type="dxa"/>
              <w:right w:w="108" w:type="dxa"/>
            </w:tcMar>
            <w:vAlign w:val="bottom"/>
            <w:hideMark/>
          </w:tcPr>
          <w:p w:rsidR="00491DF6" w:rsidRPr="00491DF6" w:rsidRDefault="00491DF6">
            <w:pPr>
              <w:jc w:val="right"/>
              <w:rPr>
                <w:rFonts w:ascii="Calibri" w:eastAsiaTheme="minorHAnsi" w:hAnsi="Calibri"/>
                <w:color w:val="000000"/>
                <w:sz w:val="24"/>
              </w:rPr>
            </w:pPr>
            <w:r w:rsidRPr="00491DF6">
              <w:rPr>
                <w:color w:val="000000"/>
                <w:sz w:val="24"/>
              </w:rPr>
              <w:t>63</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58</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49</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60</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40</w:t>
            </w:r>
          </w:p>
        </w:tc>
        <w:tc>
          <w:tcPr>
            <w:tcW w:w="1325"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4.58</w:t>
            </w:r>
          </w:p>
        </w:tc>
      </w:tr>
      <w:tr w:rsidR="00491DF6" w:rsidTr="00551561">
        <w:trPr>
          <w:trHeight w:val="288"/>
        </w:trPr>
        <w:tc>
          <w:tcPr>
            <w:tcW w:w="2080" w:type="dxa"/>
            <w:shd w:val="clear" w:color="auto" w:fill="FFFFFF"/>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SHOPLIFTING</w:t>
            </w:r>
          </w:p>
        </w:tc>
        <w:tc>
          <w:tcPr>
            <w:tcW w:w="960" w:type="dxa"/>
            <w:shd w:val="clear" w:color="auto" w:fill="FFFFFF"/>
            <w:noWrap/>
            <w:tcMar>
              <w:top w:w="0" w:type="dxa"/>
              <w:left w:w="108" w:type="dxa"/>
              <w:bottom w:w="0" w:type="dxa"/>
              <w:right w:w="108" w:type="dxa"/>
            </w:tcMar>
            <w:vAlign w:val="bottom"/>
            <w:hideMark/>
          </w:tcPr>
          <w:p w:rsidR="00491DF6" w:rsidRPr="00491DF6" w:rsidRDefault="00491DF6">
            <w:pPr>
              <w:jc w:val="right"/>
              <w:rPr>
                <w:rFonts w:ascii="Calibri" w:eastAsiaTheme="minorHAnsi" w:hAnsi="Calibri"/>
                <w:color w:val="000000"/>
                <w:sz w:val="24"/>
              </w:rPr>
            </w:pPr>
            <w:r w:rsidRPr="00491DF6">
              <w:rPr>
                <w:color w:val="000000"/>
                <w:sz w:val="24"/>
              </w:rPr>
              <w:t>225</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138</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113</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146</w:t>
            </w:r>
          </w:p>
        </w:tc>
        <w:tc>
          <w:tcPr>
            <w:tcW w:w="960"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142</w:t>
            </w:r>
          </w:p>
        </w:tc>
        <w:tc>
          <w:tcPr>
            <w:tcW w:w="1325" w:type="dxa"/>
            <w:shd w:val="clear" w:color="auto" w:fill="FFFFFF"/>
            <w:noWrap/>
            <w:tcMar>
              <w:top w:w="0" w:type="dxa"/>
              <w:left w:w="108" w:type="dxa"/>
              <w:bottom w:w="0" w:type="dxa"/>
              <w:right w:w="108" w:type="dxa"/>
            </w:tcMar>
            <w:vAlign w:val="bottom"/>
            <w:hideMark/>
          </w:tcPr>
          <w:p w:rsidR="00491DF6" w:rsidRDefault="00491DF6">
            <w:pPr>
              <w:jc w:val="right"/>
              <w:rPr>
                <w:rFonts w:ascii="Calibri" w:eastAsiaTheme="minorHAnsi" w:hAnsi="Calibri"/>
                <w:color w:val="000000"/>
              </w:rPr>
            </w:pPr>
            <w:r>
              <w:rPr>
                <w:color w:val="000000"/>
              </w:rPr>
              <w:t>12.73</w:t>
            </w:r>
          </w:p>
        </w:tc>
      </w:tr>
      <w:tr w:rsidR="00491DF6" w:rsidTr="00551561">
        <w:trPr>
          <w:trHeight w:val="288"/>
        </w:trPr>
        <w:tc>
          <w:tcPr>
            <w:tcW w:w="2080" w:type="dxa"/>
            <w:shd w:val="clear" w:color="auto" w:fill="F2F2F2"/>
            <w:noWrap/>
            <w:tcMar>
              <w:top w:w="0" w:type="dxa"/>
              <w:left w:w="108" w:type="dxa"/>
              <w:bottom w:w="0" w:type="dxa"/>
              <w:right w:w="108" w:type="dxa"/>
            </w:tcMar>
            <w:vAlign w:val="bottom"/>
            <w:hideMark/>
          </w:tcPr>
          <w:p w:rsidR="00491DF6" w:rsidRDefault="00491DF6">
            <w:pPr>
              <w:rPr>
                <w:rFonts w:ascii="Calibri" w:eastAsiaTheme="minorHAnsi" w:hAnsi="Calibri"/>
                <w:b/>
                <w:bCs/>
                <w:color w:val="3F3F3F"/>
              </w:rPr>
            </w:pPr>
            <w:r>
              <w:rPr>
                <w:b/>
                <w:bCs/>
                <w:color w:val="3F3F3F"/>
              </w:rPr>
              <w:t>TOTAL FOCUS CRIMES</w:t>
            </w:r>
          </w:p>
        </w:tc>
        <w:tc>
          <w:tcPr>
            <w:tcW w:w="960" w:type="dxa"/>
            <w:shd w:val="clear" w:color="auto" w:fill="F2F2F2"/>
            <w:noWrap/>
            <w:tcMar>
              <w:top w:w="0" w:type="dxa"/>
              <w:left w:w="108" w:type="dxa"/>
              <w:bottom w:w="0" w:type="dxa"/>
              <w:right w:w="108" w:type="dxa"/>
            </w:tcMar>
            <w:vAlign w:val="bottom"/>
            <w:hideMark/>
          </w:tcPr>
          <w:p w:rsidR="00491DF6" w:rsidRPr="00491DF6" w:rsidRDefault="00491DF6">
            <w:pPr>
              <w:jc w:val="right"/>
              <w:rPr>
                <w:rFonts w:ascii="Calibri" w:eastAsiaTheme="minorHAnsi" w:hAnsi="Calibri"/>
                <w:b/>
                <w:bCs/>
                <w:color w:val="3F3F3F"/>
                <w:sz w:val="24"/>
              </w:rPr>
            </w:pPr>
            <w:r w:rsidRPr="00491DF6">
              <w:rPr>
                <w:b/>
                <w:bCs/>
                <w:color w:val="3F3F3F"/>
                <w:sz w:val="24"/>
              </w:rPr>
              <w:t>339</w:t>
            </w:r>
          </w:p>
        </w:tc>
        <w:tc>
          <w:tcPr>
            <w:tcW w:w="960" w:type="dxa"/>
            <w:shd w:val="clear" w:color="auto" w:fill="F2F2F2"/>
            <w:noWrap/>
            <w:tcMar>
              <w:top w:w="0" w:type="dxa"/>
              <w:left w:w="108" w:type="dxa"/>
              <w:bottom w:w="0" w:type="dxa"/>
              <w:right w:w="108" w:type="dxa"/>
            </w:tcMar>
            <w:vAlign w:val="bottom"/>
            <w:hideMark/>
          </w:tcPr>
          <w:p w:rsidR="00491DF6" w:rsidRDefault="00491DF6">
            <w:pPr>
              <w:jc w:val="right"/>
              <w:rPr>
                <w:rFonts w:ascii="Calibri" w:eastAsiaTheme="minorHAnsi" w:hAnsi="Calibri"/>
                <w:b/>
                <w:bCs/>
                <w:color w:val="3F3F3F"/>
              </w:rPr>
            </w:pPr>
            <w:r>
              <w:rPr>
                <w:b/>
                <w:bCs/>
                <w:color w:val="3F3F3F"/>
              </w:rPr>
              <w:t>246</w:t>
            </w:r>
          </w:p>
        </w:tc>
        <w:tc>
          <w:tcPr>
            <w:tcW w:w="960" w:type="dxa"/>
            <w:shd w:val="clear" w:color="auto" w:fill="F2F2F2"/>
            <w:noWrap/>
            <w:tcMar>
              <w:top w:w="0" w:type="dxa"/>
              <w:left w:w="108" w:type="dxa"/>
              <w:bottom w:w="0" w:type="dxa"/>
              <w:right w:w="108" w:type="dxa"/>
            </w:tcMar>
            <w:vAlign w:val="bottom"/>
            <w:hideMark/>
          </w:tcPr>
          <w:p w:rsidR="00491DF6" w:rsidRDefault="00491DF6">
            <w:pPr>
              <w:jc w:val="right"/>
              <w:rPr>
                <w:rFonts w:ascii="Calibri" w:eastAsiaTheme="minorHAnsi" w:hAnsi="Calibri"/>
                <w:b/>
                <w:bCs/>
                <w:color w:val="3F3F3F"/>
              </w:rPr>
            </w:pPr>
            <w:r>
              <w:rPr>
                <w:b/>
                <w:bCs/>
                <w:color w:val="3F3F3F"/>
              </w:rPr>
              <w:t>212</w:t>
            </w:r>
          </w:p>
        </w:tc>
        <w:tc>
          <w:tcPr>
            <w:tcW w:w="960" w:type="dxa"/>
            <w:shd w:val="clear" w:color="auto" w:fill="F2F2F2"/>
            <w:noWrap/>
            <w:tcMar>
              <w:top w:w="0" w:type="dxa"/>
              <w:left w:w="108" w:type="dxa"/>
              <w:bottom w:w="0" w:type="dxa"/>
              <w:right w:w="108" w:type="dxa"/>
            </w:tcMar>
            <w:vAlign w:val="bottom"/>
            <w:hideMark/>
          </w:tcPr>
          <w:p w:rsidR="00491DF6" w:rsidRDefault="00491DF6">
            <w:pPr>
              <w:jc w:val="right"/>
              <w:rPr>
                <w:rFonts w:ascii="Calibri" w:eastAsiaTheme="minorHAnsi" w:hAnsi="Calibri"/>
                <w:b/>
                <w:bCs/>
                <w:color w:val="3F3F3F"/>
              </w:rPr>
            </w:pPr>
            <w:r>
              <w:rPr>
                <w:b/>
                <w:bCs/>
                <w:color w:val="3F3F3F"/>
              </w:rPr>
              <w:t>249</w:t>
            </w:r>
          </w:p>
        </w:tc>
        <w:tc>
          <w:tcPr>
            <w:tcW w:w="960" w:type="dxa"/>
            <w:shd w:val="clear" w:color="auto" w:fill="F2F2F2"/>
            <w:noWrap/>
            <w:tcMar>
              <w:top w:w="0" w:type="dxa"/>
              <w:left w:w="108" w:type="dxa"/>
              <w:bottom w:w="0" w:type="dxa"/>
              <w:right w:w="108" w:type="dxa"/>
            </w:tcMar>
            <w:vAlign w:val="bottom"/>
            <w:hideMark/>
          </w:tcPr>
          <w:p w:rsidR="00491DF6" w:rsidRDefault="00491DF6">
            <w:pPr>
              <w:jc w:val="right"/>
              <w:rPr>
                <w:rFonts w:ascii="Calibri" w:eastAsiaTheme="minorHAnsi" w:hAnsi="Calibri"/>
                <w:b/>
                <w:bCs/>
                <w:color w:val="3F3F3F"/>
              </w:rPr>
            </w:pPr>
            <w:r>
              <w:rPr>
                <w:b/>
                <w:bCs/>
                <w:color w:val="3F3F3F"/>
              </w:rPr>
              <w:t>228</w:t>
            </w:r>
          </w:p>
        </w:tc>
        <w:tc>
          <w:tcPr>
            <w:tcW w:w="1325" w:type="dxa"/>
            <w:shd w:val="clear" w:color="auto" w:fill="F2F2F2"/>
            <w:noWrap/>
            <w:tcMar>
              <w:top w:w="0" w:type="dxa"/>
              <w:left w:w="108" w:type="dxa"/>
              <w:bottom w:w="0" w:type="dxa"/>
              <w:right w:w="108" w:type="dxa"/>
            </w:tcMar>
            <w:vAlign w:val="bottom"/>
            <w:hideMark/>
          </w:tcPr>
          <w:p w:rsidR="00491DF6" w:rsidRDefault="00491DF6">
            <w:pPr>
              <w:jc w:val="right"/>
              <w:rPr>
                <w:rFonts w:ascii="Calibri" w:eastAsiaTheme="minorHAnsi" w:hAnsi="Calibri"/>
                <w:b/>
                <w:bCs/>
                <w:color w:val="3F3F3F"/>
              </w:rPr>
            </w:pPr>
            <w:r>
              <w:rPr>
                <w:b/>
                <w:bCs/>
                <w:color w:val="3F3F3F"/>
              </w:rPr>
              <w:t>22</w:t>
            </w:r>
          </w:p>
        </w:tc>
      </w:tr>
      <w:tr w:rsidR="00C744E5" w:rsidTr="00551561">
        <w:trPr>
          <w:trHeight w:val="288"/>
        </w:trPr>
        <w:tc>
          <w:tcPr>
            <w:tcW w:w="2080" w:type="dxa"/>
            <w:shd w:val="pct75" w:color="auto" w:fill="FFFFFF"/>
            <w:noWrap/>
            <w:tcMar>
              <w:top w:w="0" w:type="dxa"/>
              <w:left w:w="108" w:type="dxa"/>
              <w:bottom w:w="0" w:type="dxa"/>
              <w:right w:w="108" w:type="dxa"/>
            </w:tcMar>
            <w:vAlign w:val="bottom"/>
          </w:tcPr>
          <w:p w:rsidR="00491DF6" w:rsidRPr="00491DF6" w:rsidRDefault="00491DF6">
            <w:pPr>
              <w:rPr>
                <w:rFonts w:ascii="Calibri" w:eastAsiaTheme="minorHAnsi" w:hAnsi="Calibri"/>
                <w:color w:val="000000"/>
                <w:sz w:val="16"/>
                <w:szCs w:val="16"/>
              </w:rPr>
            </w:pPr>
          </w:p>
        </w:tc>
        <w:tc>
          <w:tcPr>
            <w:tcW w:w="960" w:type="dxa"/>
            <w:shd w:val="pct75" w:color="auto" w:fill="FFFFFF"/>
            <w:noWrap/>
            <w:tcMar>
              <w:top w:w="0" w:type="dxa"/>
              <w:left w:w="108" w:type="dxa"/>
              <w:bottom w:w="0" w:type="dxa"/>
              <w:right w:w="108" w:type="dxa"/>
            </w:tcMar>
            <w:vAlign w:val="bottom"/>
          </w:tcPr>
          <w:p w:rsidR="00491DF6" w:rsidRPr="00491DF6" w:rsidRDefault="00491DF6">
            <w:pPr>
              <w:rPr>
                <w:rFonts w:ascii="Calibri" w:eastAsiaTheme="minorHAnsi" w:hAnsi="Calibri"/>
                <w:color w:val="000000"/>
                <w:sz w:val="24"/>
              </w:rPr>
            </w:pPr>
          </w:p>
        </w:tc>
        <w:tc>
          <w:tcPr>
            <w:tcW w:w="960" w:type="dxa"/>
            <w:shd w:val="pct75" w:color="auto" w:fill="FFFFFF"/>
            <w:noWrap/>
            <w:tcMar>
              <w:top w:w="0" w:type="dxa"/>
              <w:left w:w="108" w:type="dxa"/>
              <w:bottom w:w="0" w:type="dxa"/>
              <w:right w:w="108" w:type="dxa"/>
            </w:tcMar>
            <w:vAlign w:val="bottom"/>
          </w:tcPr>
          <w:p w:rsidR="00491DF6" w:rsidRDefault="00491DF6">
            <w:pPr>
              <w:rPr>
                <w:rFonts w:ascii="Calibri" w:eastAsiaTheme="minorHAnsi" w:hAnsi="Calibri"/>
                <w:color w:val="000000"/>
              </w:rPr>
            </w:pPr>
          </w:p>
        </w:tc>
        <w:tc>
          <w:tcPr>
            <w:tcW w:w="960" w:type="dxa"/>
            <w:shd w:val="pct75" w:color="auto" w:fill="FFFFFF"/>
            <w:noWrap/>
            <w:tcMar>
              <w:top w:w="0" w:type="dxa"/>
              <w:left w:w="108" w:type="dxa"/>
              <w:bottom w:w="0" w:type="dxa"/>
              <w:right w:w="108" w:type="dxa"/>
            </w:tcMar>
            <w:vAlign w:val="bottom"/>
          </w:tcPr>
          <w:p w:rsidR="00491DF6" w:rsidRDefault="00491DF6">
            <w:pPr>
              <w:rPr>
                <w:rFonts w:ascii="Calibri" w:eastAsiaTheme="minorHAnsi" w:hAnsi="Calibri"/>
                <w:color w:val="000000"/>
              </w:rPr>
            </w:pPr>
          </w:p>
        </w:tc>
        <w:tc>
          <w:tcPr>
            <w:tcW w:w="960" w:type="dxa"/>
            <w:shd w:val="pct75" w:color="auto" w:fill="FFFFFF"/>
            <w:noWrap/>
            <w:tcMar>
              <w:top w:w="0" w:type="dxa"/>
              <w:left w:w="108" w:type="dxa"/>
              <w:bottom w:w="0" w:type="dxa"/>
              <w:right w:w="108" w:type="dxa"/>
            </w:tcMar>
            <w:vAlign w:val="bottom"/>
          </w:tcPr>
          <w:p w:rsidR="00491DF6" w:rsidRDefault="00491DF6">
            <w:pPr>
              <w:rPr>
                <w:rFonts w:ascii="Calibri" w:eastAsiaTheme="minorHAnsi" w:hAnsi="Calibri"/>
                <w:color w:val="000000"/>
              </w:rPr>
            </w:pPr>
          </w:p>
        </w:tc>
        <w:tc>
          <w:tcPr>
            <w:tcW w:w="960" w:type="dxa"/>
            <w:shd w:val="pct75" w:color="auto" w:fill="FFFFFF"/>
            <w:noWrap/>
            <w:tcMar>
              <w:top w:w="0" w:type="dxa"/>
              <w:left w:w="108" w:type="dxa"/>
              <w:bottom w:w="0" w:type="dxa"/>
              <w:right w:w="108" w:type="dxa"/>
            </w:tcMar>
            <w:vAlign w:val="bottom"/>
          </w:tcPr>
          <w:p w:rsidR="00491DF6" w:rsidRDefault="00491DF6">
            <w:pPr>
              <w:rPr>
                <w:rFonts w:ascii="Calibri" w:eastAsiaTheme="minorHAnsi" w:hAnsi="Calibri"/>
                <w:color w:val="000000"/>
              </w:rPr>
            </w:pPr>
          </w:p>
        </w:tc>
        <w:tc>
          <w:tcPr>
            <w:tcW w:w="1325" w:type="dxa"/>
            <w:shd w:val="pct75" w:color="auto" w:fill="FFFFFF"/>
            <w:noWrap/>
            <w:tcMar>
              <w:top w:w="0" w:type="dxa"/>
              <w:left w:w="108" w:type="dxa"/>
              <w:bottom w:w="0" w:type="dxa"/>
              <w:right w:w="108" w:type="dxa"/>
            </w:tcMar>
            <w:vAlign w:val="bottom"/>
          </w:tcPr>
          <w:p w:rsidR="00491DF6" w:rsidRDefault="00491DF6">
            <w:pPr>
              <w:rPr>
                <w:rFonts w:ascii="Calibri" w:eastAsiaTheme="minorHAnsi" w:hAnsi="Calibri"/>
                <w:color w:val="000000"/>
              </w:rPr>
            </w:pPr>
          </w:p>
        </w:tc>
      </w:tr>
      <w:tr w:rsidR="00491DF6" w:rsidTr="00551561">
        <w:trPr>
          <w:trHeight w:val="288"/>
        </w:trPr>
        <w:tc>
          <w:tcPr>
            <w:tcW w:w="208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b/>
                <w:bCs/>
                <w:color w:val="000000"/>
              </w:rPr>
            </w:pPr>
            <w:r>
              <w:rPr>
                <w:b/>
                <w:bCs/>
                <w:color w:val="000000"/>
              </w:rPr>
              <w:t>COLLISIONS</w:t>
            </w:r>
          </w:p>
        </w:tc>
        <w:tc>
          <w:tcPr>
            <w:tcW w:w="960" w:type="dxa"/>
            <w:shd w:val="pct10" w:color="auto" w:fill="F2F2F2"/>
            <w:noWrap/>
            <w:tcMar>
              <w:top w:w="0" w:type="dxa"/>
              <w:left w:w="108" w:type="dxa"/>
              <w:bottom w:w="0" w:type="dxa"/>
              <w:right w:w="108" w:type="dxa"/>
            </w:tcMar>
            <w:vAlign w:val="bottom"/>
            <w:hideMark/>
          </w:tcPr>
          <w:p w:rsidR="00491DF6" w:rsidRPr="00491DF6" w:rsidRDefault="00491DF6">
            <w:pPr>
              <w:rPr>
                <w:rFonts w:ascii="Calibri" w:eastAsiaTheme="minorHAnsi" w:hAnsi="Calibri"/>
                <w:color w:val="000000"/>
                <w:sz w:val="24"/>
              </w:rPr>
            </w:pPr>
            <w:r w:rsidRPr="00491DF6">
              <w:rPr>
                <w:color w:val="000000"/>
                <w:sz w:val="24"/>
              </w:rPr>
              <w:t> </w:t>
            </w:r>
          </w:p>
        </w:tc>
        <w:tc>
          <w:tcPr>
            <w:tcW w:w="96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 </w:t>
            </w:r>
          </w:p>
        </w:tc>
        <w:tc>
          <w:tcPr>
            <w:tcW w:w="1325" w:type="dxa"/>
            <w:shd w:val="pct10" w:color="auto" w:fill="F2F2F2"/>
            <w:noWrap/>
            <w:tcMar>
              <w:top w:w="0" w:type="dxa"/>
              <w:left w:w="108" w:type="dxa"/>
              <w:bottom w:w="0" w:type="dxa"/>
              <w:right w:w="108" w:type="dxa"/>
            </w:tcMar>
            <w:vAlign w:val="bottom"/>
            <w:hideMark/>
          </w:tcPr>
          <w:p w:rsidR="00491DF6" w:rsidRDefault="00491DF6">
            <w:pPr>
              <w:rPr>
                <w:rFonts w:ascii="Calibri" w:eastAsiaTheme="minorHAnsi" w:hAnsi="Calibri"/>
                <w:color w:val="000000"/>
              </w:rPr>
            </w:pPr>
            <w:r>
              <w:rPr>
                <w:color w:val="000000"/>
              </w:rPr>
              <w:t> </w:t>
            </w:r>
          </w:p>
        </w:tc>
      </w:tr>
      <w:tr w:rsidR="00DC4ABE" w:rsidTr="00551561">
        <w:trPr>
          <w:trHeight w:val="288"/>
        </w:trPr>
        <w:tc>
          <w:tcPr>
            <w:tcW w:w="2080" w:type="dxa"/>
            <w:shd w:val="clear"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b/>
                <w:bCs/>
                <w:color w:val="3F3F3F"/>
              </w:rPr>
              <w:t>TOTAL COLLISIONS</w:t>
            </w:r>
          </w:p>
        </w:tc>
        <w:tc>
          <w:tcPr>
            <w:tcW w:w="960" w:type="dxa"/>
            <w:shd w:val="clear" w:color="auto" w:fill="F2F2F2"/>
            <w:noWrap/>
            <w:tcMar>
              <w:top w:w="0" w:type="dxa"/>
              <w:left w:w="108" w:type="dxa"/>
              <w:bottom w:w="0" w:type="dxa"/>
              <w:right w:w="108" w:type="dxa"/>
            </w:tcMar>
            <w:vAlign w:val="bottom"/>
            <w:hideMark/>
          </w:tcPr>
          <w:p w:rsidR="00DC4ABE" w:rsidRPr="00491DF6" w:rsidRDefault="00DC4ABE">
            <w:pPr>
              <w:jc w:val="right"/>
              <w:rPr>
                <w:rFonts w:ascii="Calibri" w:eastAsiaTheme="minorHAnsi" w:hAnsi="Calibri"/>
                <w:color w:val="000000"/>
                <w:sz w:val="24"/>
              </w:rPr>
            </w:pPr>
            <w:r w:rsidRPr="00491DF6">
              <w:rPr>
                <w:b/>
                <w:bCs/>
                <w:color w:val="3F3F3F"/>
                <w:sz w:val="24"/>
              </w:rPr>
              <w:t>244</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259</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273</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330</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363</w:t>
            </w:r>
          </w:p>
        </w:tc>
        <w:tc>
          <w:tcPr>
            <w:tcW w:w="1325"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24</w:t>
            </w:r>
          </w:p>
        </w:tc>
      </w:tr>
      <w:tr w:rsidR="00DC4ABE" w:rsidTr="00551561">
        <w:trPr>
          <w:trHeight w:val="288"/>
        </w:trPr>
        <w:tc>
          <w:tcPr>
            <w:tcW w:w="2080" w:type="dxa"/>
            <w:shd w:val="pct75" w:color="auto" w:fill="FFFFFF"/>
            <w:noWrap/>
            <w:tcMar>
              <w:top w:w="0" w:type="dxa"/>
              <w:left w:w="108" w:type="dxa"/>
              <w:bottom w:w="0" w:type="dxa"/>
              <w:right w:w="108" w:type="dxa"/>
            </w:tcMar>
            <w:vAlign w:val="bottom"/>
            <w:hideMark/>
          </w:tcPr>
          <w:p w:rsidR="00DC4ABE" w:rsidRDefault="00DC4ABE">
            <w:pPr>
              <w:rPr>
                <w:rFonts w:ascii="Calibri" w:eastAsiaTheme="minorHAnsi" w:hAnsi="Calibri"/>
                <w:b/>
                <w:bCs/>
                <w:color w:val="3F3F3F"/>
              </w:rPr>
            </w:pPr>
            <w:r>
              <w:rPr>
                <w:color w:val="000000"/>
              </w:rPr>
              <w:t> </w:t>
            </w:r>
          </w:p>
        </w:tc>
        <w:tc>
          <w:tcPr>
            <w:tcW w:w="960" w:type="dxa"/>
            <w:shd w:val="pct75" w:color="auto" w:fill="FFFFFF"/>
            <w:noWrap/>
            <w:tcMar>
              <w:top w:w="0" w:type="dxa"/>
              <w:left w:w="108" w:type="dxa"/>
              <w:bottom w:w="0" w:type="dxa"/>
              <w:right w:w="108" w:type="dxa"/>
            </w:tcMar>
            <w:vAlign w:val="bottom"/>
            <w:hideMark/>
          </w:tcPr>
          <w:p w:rsidR="00DC4ABE" w:rsidRPr="00491DF6" w:rsidRDefault="00DC4ABE">
            <w:pPr>
              <w:jc w:val="right"/>
              <w:rPr>
                <w:rFonts w:ascii="Calibri" w:eastAsiaTheme="minorHAnsi" w:hAnsi="Calibri"/>
                <w:b/>
                <w:bCs/>
                <w:color w:val="3F3F3F"/>
                <w:sz w:val="24"/>
              </w:rPr>
            </w:pPr>
            <w:r w:rsidRPr="00491DF6">
              <w:rPr>
                <w:color w:val="000000"/>
                <w:sz w:val="24"/>
              </w:rPr>
              <w:t> </w:t>
            </w:r>
          </w:p>
        </w:tc>
        <w:tc>
          <w:tcPr>
            <w:tcW w:w="960" w:type="dxa"/>
            <w:shd w:val="pct75"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b/>
                <w:bCs/>
                <w:color w:val="3F3F3F"/>
              </w:rPr>
            </w:pPr>
            <w:r>
              <w:rPr>
                <w:color w:val="000000"/>
              </w:rPr>
              <w:t> </w:t>
            </w:r>
          </w:p>
        </w:tc>
        <w:tc>
          <w:tcPr>
            <w:tcW w:w="960" w:type="dxa"/>
            <w:shd w:val="pct75"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b/>
                <w:bCs/>
                <w:color w:val="3F3F3F"/>
              </w:rPr>
            </w:pPr>
            <w:r>
              <w:rPr>
                <w:color w:val="000000"/>
              </w:rPr>
              <w:t> </w:t>
            </w:r>
          </w:p>
        </w:tc>
        <w:tc>
          <w:tcPr>
            <w:tcW w:w="960" w:type="dxa"/>
            <w:shd w:val="pct75"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b/>
                <w:bCs/>
                <w:color w:val="3F3F3F"/>
              </w:rPr>
            </w:pPr>
            <w:r>
              <w:rPr>
                <w:color w:val="000000"/>
              </w:rPr>
              <w:t> </w:t>
            </w:r>
          </w:p>
        </w:tc>
        <w:tc>
          <w:tcPr>
            <w:tcW w:w="960" w:type="dxa"/>
            <w:shd w:val="pct75"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b/>
                <w:bCs/>
                <w:color w:val="3F3F3F"/>
              </w:rPr>
            </w:pPr>
            <w:r>
              <w:rPr>
                <w:color w:val="000000"/>
              </w:rPr>
              <w:t> </w:t>
            </w:r>
          </w:p>
        </w:tc>
        <w:tc>
          <w:tcPr>
            <w:tcW w:w="1325" w:type="dxa"/>
            <w:shd w:val="pct75"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b/>
                <w:bCs/>
                <w:color w:val="3F3F3F"/>
              </w:rPr>
            </w:pPr>
            <w:r>
              <w:rPr>
                <w:color w:val="000000"/>
              </w:rPr>
              <w:t> </w:t>
            </w:r>
          </w:p>
        </w:tc>
      </w:tr>
      <w:tr w:rsidR="00DC4ABE" w:rsidTr="00551561">
        <w:trPr>
          <w:trHeight w:val="288"/>
        </w:trPr>
        <w:tc>
          <w:tcPr>
            <w:tcW w:w="2080"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b/>
                <w:bCs/>
                <w:color w:val="000000"/>
              </w:rPr>
              <w:t>ONVIEW CONTACTS</w:t>
            </w:r>
          </w:p>
        </w:tc>
        <w:tc>
          <w:tcPr>
            <w:tcW w:w="960" w:type="dxa"/>
            <w:shd w:val="pct10" w:color="auto" w:fill="F2F2F2"/>
            <w:noWrap/>
            <w:tcMar>
              <w:top w:w="0" w:type="dxa"/>
              <w:left w:w="108" w:type="dxa"/>
              <w:bottom w:w="0" w:type="dxa"/>
              <w:right w:w="108" w:type="dxa"/>
            </w:tcMar>
            <w:vAlign w:val="bottom"/>
            <w:hideMark/>
          </w:tcPr>
          <w:p w:rsidR="00DC4ABE" w:rsidRPr="00491DF6" w:rsidRDefault="00DC4ABE">
            <w:pPr>
              <w:rPr>
                <w:rFonts w:ascii="Calibri" w:eastAsiaTheme="minorHAnsi" w:hAnsi="Calibri"/>
                <w:color w:val="000000"/>
                <w:sz w:val="24"/>
              </w:rPr>
            </w:pPr>
            <w:r w:rsidRPr="00491DF6">
              <w:rPr>
                <w:color w:val="000000"/>
                <w:sz w:val="24"/>
              </w:rPr>
              <w:t> </w:t>
            </w:r>
          </w:p>
        </w:tc>
        <w:tc>
          <w:tcPr>
            <w:tcW w:w="960"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 </w:t>
            </w:r>
          </w:p>
        </w:tc>
        <w:tc>
          <w:tcPr>
            <w:tcW w:w="960"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 </w:t>
            </w:r>
          </w:p>
        </w:tc>
        <w:tc>
          <w:tcPr>
            <w:tcW w:w="1325" w:type="dxa"/>
            <w:shd w:val="pct10"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 </w:t>
            </w:r>
          </w:p>
        </w:tc>
      </w:tr>
      <w:tr w:rsidR="00DC4ABE" w:rsidTr="00551561">
        <w:trPr>
          <w:trHeight w:val="288"/>
        </w:trPr>
        <w:tc>
          <w:tcPr>
            <w:tcW w:w="208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b/>
                <w:bCs/>
                <w:color w:val="000000"/>
              </w:rPr>
            </w:pPr>
            <w:r>
              <w:rPr>
                <w:color w:val="000000"/>
              </w:rPr>
              <w:t>TRAFFIC STOPS</w:t>
            </w:r>
          </w:p>
        </w:tc>
        <w:tc>
          <w:tcPr>
            <w:tcW w:w="960" w:type="dxa"/>
            <w:shd w:val="clear" w:color="auto" w:fill="FFFFFF"/>
            <w:noWrap/>
            <w:tcMar>
              <w:top w:w="0" w:type="dxa"/>
              <w:left w:w="108" w:type="dxa"/>
              <w:bottom w:w="0" w:type="dxa"/>
              <w:right w:w="108" w:type="dxa"/>
            </w:tcMar>
            <w:vAlign w:val="bottom"/>
            <w:hideMark/>
          </w:tcPr>
          <w:p w:rsidR="00DC4ABE" w:rsidRPr="00491DF6" w:rsidRDefault="00DC4ABE">
            <w:pPr>
              <w:rPr>
                <w:rFonts w:ascii="Calibri" w:eastAsiaTheme="minorHAnsi" w:hAnsi="Calibri"/>
                <w:color w:val="000000"/>
                <w:sz w:val="24"/>
              </w:rPr>
            </w:pPr>
            <w:r w:rsidRPr="00491DF6">
              <w:rPr>
                <w:color w:val="000000"/>
                <w:sz w:val="24"/>
              </w:rPr>
              <w:t>4618</w:t>
            </w:r>
          </w:p>
        </w:tc>
        <w:tc>
          <w:tcPr>
            <w:tcW w:w="96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3765</w:t>
            </w:r>
          </w:p>
        </w:tc>
        <w:tc>
          <w:tcPr>
            <w:tcW w:w="96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3668</w:t>
            </w:r>
          </w:p>
        </w:tc>
        <w:tc>
          <w:tcPr>
            <w:tcW w:w="96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3940</w:t>
            </w:r>
          </w:p>
        </w:tc>
        <w:tc>
          <w:tcPr>
            <w:tcW w:w="96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4811</w:t>
            </w:r>
          </w:p>
        </w:tc>
        <w:tc>
          <w:tcPr>
            <w:tcW w:w="1325"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346.70</w:t>
            </w:r>
          </w:p>
        </w:tc>
      </w:tr>
      <w:tr w:rsidR="00DC4ABE" w:rsidTr="00551561">
        <w:trPr>
          <w:trHeight w:val="288"/>
        </w:trPr>
        <w:tc>
          <w:tcPr>
            <w:tcW w:w="2080" w:type="dxa"/>
            <w:shd w:val="clear" w:color="auto" w:fill="FFFFFF"/>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color w:val="000000"/>
              </w:rPr>
              <w:t>SUBJECT STOPS</w:t>
            </w:r>
          </w:p>
        </w:tc>
        <w:tc>
          <w:tcPr>
            <w:tcW w:w="960" w:type="dxa"/>
            <w:shd w:val="clear" w:color="auto" w:fill="FFFFFF"/>
            <w:noWrap/>
            <w:tcMar>
              <w:top w:w="0" w:type="dxa"/>
              <w:left w:w="108" w:type="dxa"/>
              <w:bottom w:w="0" w:type="dxa"/>
              <w:right w:w="108" w:type="dxa"/>
            </w:tcMar>
            <w:vAlign w:val="bottom"/>
            <w:hideMark/>
          </w:tcPr>
          <w:p w:rsidR="00DC4ABE" w:rsidRPr="00491DF6" w:rsidRDefault="00DC4ABE">
            <w:pPr>
              <w:jc w:val="right"/>
              <w:rPr>
                <w:rFonts w:ascii="Calibri" w:eastAsiaTheme="minorHAnsi" w:hAnsi="Calibri"/>
                <w:color w:val="000000"/>
                <w:sz w:val="24"/>
              </w:rPr>
            </w:pPr>
            <w:r w:rsidRPr="00491DF6">
              <w:rPr>
                <w:color w:val="000000"/>
                <w:sz w:val="24"/>
              </w:rPr>
              <w:t>916</w:t>
            </w:r>
          </w:p>
        </w:tc>
        <w:tc>
          <w:tcPr>
            <w:tcW w:w="960" w:type="dxa"/>
            <w:shd w:val="clear"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color w:val="000000"/>
              </w:rPr>
              <w:t>787</w:t>
            </w:r>
          </w:p>
        </w:tc>
        <w:tc>
          <w:tcPr>
            <w:tcW w:w="960" w:type="dxa"/>
            <w:shd w:val="clear"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color w:val="000000"/>
              </w:rPr>
              <w:t>892</w:t>
            </w:r>
          </w:p>
        </w:tc>
        <w:tc>
          <w:tcPr>
            <w:tcW w:w="960" w:type="dxa"/>
            <w:shd w:val="clear"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color w:val="000000"/>
              </w:rPr>
              <w:t>931</w:t>
            </w:r>
          </w:p>
        </w:tc>
        <w:tc>
          <w:tcPr>
            <w:tcW w:w="960" w:type="dxa"/>
            <w:shd w:val="clear"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color w:val="000000"/>
              </w:rPr>
              <w:t>645</w:t>
            </w:r>
          </w:p>
        </w:tc>
        <w:tc>
          <w:tcPr>
            <w:tcW w:w="1325" w:type="dxa"/>
            <w:shd w:val="clear" w:color="auto" w:fill="FFFFFF"/>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color w:val="000000"/>
              </w:rPr>
              <w:t>69.52</w:t>
            </w:r>
          </w:p>
        </w:tc>
      </w:tr>
      <w:tr w:rsidR="00DC4ABE" w:rsidTr="00551561">
        <w:trPr>
          <w:trHeight w:val="288"/>
        </w:trPr>
        <w:tc>
          <w:tcPr>
            <w:tcW w:w="2080" w:type="dxa"/>
            <w:shd w:val="clear" w:color="auto" w:fill="F2F2F2"/>
            <w:noWrap/>
            <w:tcMar>
              <w:top w:w="0" w:type="dxa"/>
              <w:left w:w="108" w:type="dxa"/>
              <w:bottom w:w="0" w:type="dxa"/>
              <w:right w:w="108" w:type="dxa"/>
            </w:tcMar>
            <w:vAlign w:val="bottom"/>
            <w:hideMark/>
          </w:tcPr>
          <w:p w:rsidR="00DC4ABE" w:rsidRDefault="00DC4ABE">
            <w:pPr>
              <w:rPr>
                <w:rFonts w:ascii="Calibri" w:eastAsiaTheme="minorHAnsi" w:hAnsi="Calibri"/>
                <w:color w:val="000000"/>
              </w:rPr>
            </w:pPr>
            <w:r>
              <w:rPr>
                <w:b/>
                <w:bCs/>
                <w:color w:val="3F3F3F"/>
              </w:rPr>
              <w:t>TOTAL CONTACTS</w:t>
            </w:r>
          </w:p>
        </w:tc>
        <w:tc>
          <w:tcPr>
            <w:tcW w:w="960" w:type="dxa"/>
            <w:shd w:val="clear" w:color="auto" w:fill="F2F2F2"/>
            <w:noWrap/>
            <w:tcMar>
              <w:top w:w="0" w:type="dxa"/>
              <w:left w:w="108" w:type="dxa"/>
              <w:bottom w:w="0" w:type="dxa"/>
              <w:right w:w="108" w:type="dxa"/>
            </w:tcMar>
            <w:vAlign w:val="bottom"/>
            <w:hideMark/>
          </w:tcPr>
          <w:p w:rsidR="00DC4ABE" w:rsidRPr="00491DF6" w:rsidRDefault="00DC4ABE">
            <w:pPr>
              <w:jc w:val="right"/>
              <w:rPr>
                <w:rFonts w:ascii="Calibri" w:eastAsiaTheme="minorHAnsi" w:hAnsi="Calibri"/>
                <w:color w:val="000000"/>
                <w:sz w:val="24"/>
              </w:rPr>
            </w:pPr>
            <w:r w:rsidRPr="00491DF6">
              <w:rPr>
                <w:b/>
                <w:bCs/>
                <w:color w:val="3F3F3F"/>
                <w:sz w:val="24"/>
              </w:rPr>
              <w:t>5534</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4552</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4560</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4871</w:t>
            </w:r>
          </w:p>
        </w:tc>
        <w:tc>
          <w:tcPr>
            <w:tcW w:w="960"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5456</w:t>
            </w:r>
          </w:p>
        </w:tc>
        <w:tc>
          <w:tcPr>
            <w:tcW w:w="1325" w:type="dxa"/>
            <w:shd w:val="clear" w:color="auto" w:fill="F2F2F2"/>
            <w:noWrap/>
            <w:tcMar>
              <w:top w:w="0" w:type="dxa"/>
              <w:left w:w="108" w:type="dxa"/>
              <w:bottom w:w="0" w:type="dxa"/>
              <w:right w:w="108" w:type="dxa"/>
            </w:tcMar>
            <w:vAlign w:val="bottom"/>
            <w:hideMark/>
          </w:tcPr>
          <w:p w:rsidR="00DC4ABE" w:rsidRDefault="00DC4ABE">
            <w:pPr>
              <w:jc w:val="right"/>
              <w:rPr>
                <w:rFonts w:ascii="Calibri" w:eastAsiaTheme="minorHAnsi" w:hAnsi="Calibri"/>
                <w:color w:val="000000"/>
              </w:rPr>
            </w:pPr>
            <w:r>
              <w:rPr>
                <w:b/>
                <w:bCs/>
                <w:color w:val="3F3F3F"/>
              </w:rPr>
              <w:t>416</w:t>
            </w:r>
          </w:p>
        </w:tc>
      </w:tr>
    </w:tbl>
    <w:p w:rsidR="000C5FDC" w:rsidRDefault="000C5FDC" w:rsidP="00C976EB">
      <w:pPr>
        <w:contextualSpacing/>
        <w:rPr>
          <w:rFonts w:cs="Tahoma"/>
          <w:sz w:val="24"/>
          <w:szCs w:val="24"/>
        </w:rPr>
      </w:pPr>
    </w:p>
    <w:p w:rsidR="00DF55CB" w:rsidRDefault="000C5FDC" w:rsidP="00C976EB">
      <w:pPr>
        <w:contextualSpacing/>
        <w:rPr>
          <w:rFonts w:cs="Tahoma"/>
          <w:sz w:val="24"/>
          <w:szCs w:val="24"/>
        </w:rPr>
      </w:pPr>
      <w:r>
        <w:rPr>
          <w:rFonts w:cs="Tahoma"/>
          <w:sz w:val="24"/>
          <w:szCs w:val="24"/>
        </w:rPr>
        <w:t xml:space="preserve">The crime </w:t>
      </w:r>
      <w:r w:rsidR="00C976EB">
        <w:rPr>
          <w:rFonts w:cs="Tahoma"/>
          <w:sz w:val="24"/>
          <w:szCs w:val="24"/>
        </w:rPr>
        <w:t xml:space="preserve">analysts have responsibility for the initial, historical evaluation of the specific crimes and collisions, but also will conduct ongoing gathering and analysis of the data to provide information on the work being done within the </w:t>
      </w:r>
      <w:r w:rsidR="009B6761">
        <w:rPr>
          <w:rFonts w:cs="Tahoma"/>
          <w:sz w:val="24"/>
          <w:szCs w:val="24"/>
        </w:rPr>
        <w:t xml:space="preserve">DDACTS </w:t>
      </w:r>
      <w:r w:rsidR="00945B08">
        <w:rPr>
          <w:rFonts w:cs="Tahoma"/>
          <w:sz w:val="24"/>
          <w:szCs w:val="24"/>
        </w:rPr>
        <w:t>zone</w:t>
      </w:r>
      <w:r w:rsidR="00C976EB">
        <w:rPr>
          <w:rFonts w:cs="Tahoma"/>
          <w:sz w:val="24"/>
          <w:szCs w:val="24"/>
        </w:rPr>
        <w:t xml:space="preserve">.  </w:t>
      </w:r>
      <w:r w:rsidR="004676B9">
        <w:rPr>
          <w:rFonts w:cs="Tahoma"/>
          <w:sz w:val="24"/>
          <w:szCs w:val="24"/>
        </w:rPr>
        <w:t xml:space="preserve">Initially, specific crime and </w:t>
      </w:r>
      <w:r w:rsidR="00A36130">
        <w:rPr>
          <w:rFonts w:cs="Tahoma"/>
          <w:sz w:val="24"/>
          <w:szCs w:val="24"/>
        </w:rPr>
        <w:t>collision</w:t>
      </w:r>
      <w:r w:rsidR="004676B9">
        <w:rPr>
          <w:rFonts w:cs="Tahoma"/>
          <w:sz w:val="24"/>
          <w:szCs w:val="24"/>
        </w:rPr>
        <w:t xml:space="preserve"> information will be provided to the tactical planners by the Crime Analysts, and tactical plans will be created to accomplish the progra</w:t>
      </w:r>
      <w:r w:rsidR="00945B08">
        <w:rPr>
          <w:rFonts w:cs="Tahoma"/>
          <w:sz w:val="24"/>
          <w:szCs w:val="24"/>
        </w:rPr>
        <w:t>m goals within the zone</w:t>
      </w:r>
      <w:r w:rsidR="00435725">
        <w:rPr>
          <w:rFonts w:cs="Tahoma"/>
          <w:sz w:val="24"/>
          <w:szCs w:val="24"/>
        </w:rPr>
        <w:t>,</w:t>
      </w:r>
      <w:r w:rsidR="004676B9">
        <w:rPr>
          <w:rFonts w:cs="Tahoma"/>
          <w:sz w:val="24"/>
          <w:szCs w:val="24"/>
        </w:rPr>
        <w:t xml:space="preserve"> specifically in regard to </w:t>
      </w:r>
      <w:r w:rsidR="00A36130">
        <w:rPr>
          <w:rFonts w:cs="Tahoma"/>
          <w:sz w:val="24"/>
          <w:szCs w:val="24"/>
        </w:rPr>
        <w:t xml:space="preserve">public communication </w:t>
      </w:r>
      <w:r w:rsidR="004676B9">
        <w:rPr>
          <w:rFonts w:cs="Tahoma"/>
          <w:sz w:val="24"/>
          <w:szCs w:val="24"/>
        </w:rPr>
        <w:t xml:space="preserve">and </w:t>
      </w:r>
      <w:r w:rsidR="003B26C6">
        <w:rPr>
          <w:rFonts w:cs="Tahoma"/>
          <w:sz w:val="24"/>
          <w:szCs w:val="24"/>
        </w:rPr>
        <w:t xml:space="preserve">enforcement </w:t>
      </w:r>
      <w:r w:rsidR="004676B9">
        <w:rPr>
          <w:rFonts w:cs="Tahoma"/>
          <w:sz w:val="24"/>
          <w:szCs w:val="24"/>
        </w:rPr>
        <w:t xml:space="preserve">tactics.  </w:t>
      </w:r>
      <w:r w:rsidR="003B26C6">
        <w:rPr>
          <w:rFonts w:cs="Tahoma"/>
          <w:sz w:val="24"/>
          <w:szCs w:val="24"/>
        </w:rPr>
        <w:t>Once implemented</w:t>
      </w:r>
      <w:r w:rsidR="00945B08">
        <w:rPr>
          <w:rFonts w:cs="Tahoma"/>
          <w:sz w:val="24"/>
          <w:szCs w:val="24"/>
        </w:rPr>
        <w:t>, crime a</w:t>
      </w:r>
      <w:r w:rsidR="004676B9">
        <w:rPr>
          <w:rFonts w:cs="Tahoma"/>
          <w:sz w:val="24"/>
          <w:szCs w:val="24"/>
        </w:rPr>
        <w:t xml:space="preserve">nalysts will track the enforcement statistics within the </w:t>
      </w:r>
      <w:r w:rsidR="00945B08">
        <w:rPr>
          <w:rFonts w:cs="Tahoma"/>
          <w:sz w:val="24"/>
          <w:szCs w:val="24"/>
        </w:rPr>
        <w:t>DDACTS zone</w:t>
      </w:r>
      <w:r w:rsidR="004676B9">
        <w:rPr>
          <w:rFonts w:cs="Tahoma"/>
          <w:sz w:val="24"/>
          <w:szCs w:val="24"/>
        </w:rPr>
        <w:t xml:space="preserve"> and provide the information to the division commander for analysis, reporting, and direction on tactical planning, strategic deployment and/or adjustment of resources and tactics.  Reporti</w:t>
      </w:r>
      <w:r w:rsidR="00435725">
        <w:rPr>
          <w:rFonts w:cs="Tahoma"/>
          <w:sz w:val="24"/>
          <w:szCs w:val="24"/>
        </w:rPr>
        <w:t xml:space="preserve">ng will occur at monthly intelligence Led Policing </w:t>
      </w:r>
      <w:r w:rsidR="00A36130">
        <w:rPr>
          <w:rFonts w:cs="Tahoma"/>
          <w:sz w:val="24"/>
          <w:szCs w:val="24"/>
        </w:rPr>
        <w:t>m</w:t>
      </w:r>
      <w:r w:rsidR="00435725">
        <w:rPr>
          <w:rFonts w:cs="Tahoma"/>
          <w:sz w:val="24"/>
          <w:szCs w:val="24"/>
        </w:rPr>
        <w:t>eetings i</w:t>
      </w:r>
      <w:r w:rsidR="004676B9">
        <w:rPr>
          <w:rFonts w:cs="Tahoma"/>
          <w:sz w:val="24"/>
          <w:szCs w:val="24"/>
        </w:rPr>
        <w:t xml:space="preserve">n the form of monthly report cards and Final (six month) report cards.  </w:t>
      </w:r>
      <w:r w:rsidR="00C976EB">
        <w:rPr>
          <w:rFonts w:cs="Tahoma"/>
          <w:sz w:val="24"/>
          <w:szCs w:val="24"/>
        </w:rPr>
        <w:t xml:space="preserve">The final report cards will provide the necessary information to the Commander and Special </w:t>
      </w:r>
      <w:r w:rsidR="00C976EB">
        <w:rPr>
          <w:rFonts w:cs="Tahoma"/>
          <w:sz w:val="24"/>
          <w:szCs w:val="24"/>
        </w:rPr>
        <w:lastRenderedPageBreak/>
        <w:t>Enforcement Lieutenant to direct continuance of operations within the zone, adjustments to the plan for the zone, or create a different plan based on the information provided.  The process will continue its cycle in the current zone, an altered zone, or additional zones as required per the analysis and information provided.</w:t>
      </w:r>
      <w:r w:rsidR="00593D3D">
        <w:rPr>
          <w:rFonts w:cs="Tahoma"/>
          <w:sz w:val="24"/>
          <w:szCs w:val="24"/>
        </w:rPr>
        <w:t xml:space="preserve">  </w:t>
      </w:r>
    </w:p>
    <w:p w:rsidR="009322B6" w:rsidRDefault="009322B6" w:rsidP="00C976EB">
      <w:pPr>
        <w:contextualSpacing/>
        <w:rPr>
          <w:rFonts w:cs="Tahoma"/>
          <w:sz w:val="24"/>
          <w:szCs w:val="24"/>
        </w:rPr>
      </w:pPr>
    </w:p>
    <w:p w:rsidR="00551561" w:rsidRDefault="00551561" w:rsidP="00C976EB">
      <w:pPr>
        <w:contextualSpacing/>
        <w:rPr>
          <w:rFonts w:cs="Tahoma"/>
          <w:sz w:val="24"/>
          <w:szCs w:val="24"/>
        </w:rPr>
      </w:pPr>
    </w:p>
    <w:p w:rsidR="003B26C6" w:rsidRPr="003B26C6" w:rsidRDefault="003B26C6" w:rsidP="00C976EB">
      <w:pPr>
        <w:contextualSpacing/>
        <w:rPr>
          <w:rFonts w:cs="Tahoma"/>
          <w:b/>
          <w:sz w:val="24"/>
          <w:szCs w:val="24"/>
        </w:rPr>
      </w:pPr>
      <w:r w:rsidRPr="003B26C6">
        <w:rPr>
          <w:rFonts w:cs="Tahoma"/>
          <w:b/>
          <w:sz w:val="24"/>
          <w:szCs w:val="24"/>
        </w:rPr>
        <w:t>Enforcement</w:t>
      </w:r>
    </w:p>
    <w:p w:rsidR="003B26C6" w:rsidRDefault="003B26C6" w:rsidP="00C976EB">
      <w:pPr>
        <w:contextualSpacing/>
        <w:rPr>
          <w:rFonts w:cs="Tahoma"/>
          <w:sz w:val="24"/>
          <w:szCs w:val="24"/>
        </w:rPr>
      </w:pPr>
      <w:r>
        <w:rPr>
          <w:rFonts w:cs="Tahoma"/>
          <w:sz w:val="24"/>
          <w:szCs w:val="24"/>
        </w:rPr>
        <w:t>The Special Enforcement Section</w:t>
      </w:r>
      <w:r w:rsidR="00E918B8">
        <w:rPr>
          <w:rFonts w:cs="Tahoma"/>
          <w:sz w:val="24"/>
          <w:szCs w:val="24"/>
        </w:rPr>
        <w:t xml:space="preserve"> and Patrol </w:t>
      </w:r>
      <w:r w:rsidR="00593A25">
        <w:rPr>
          <w:rFonts w:cs="Tahoma"/>
          <w:sz w:val="24"/>
          <w:szCs w:val="24"/>
        </w:rPr>
        <w:t>Officers working the Santan North Patrol Zone</w:t>
      </w:r>
      <w:r>
        <w:rPr>
          <w:rFonts w:cs="Tahoma"/>
          <w:sz w:val="24"/>
          <w:szCs w:val="24"/>
        </w:rPr>
        <w:t xml:space="preserve"> will be the primary personnel resources deployed into the program.  </w:t>
      </w:r>
      <w:r w:rsidR="00E918B8">
        <w:rPr>
          <w:rFonts w:cs="Tahoma"/>
          <w:sz w:val="24"/>
          <w:szCs w:val="24"/>
        </w:rPr>
        <w:t>Officers working DDACTS</w:t>
      </w:r>
      <w:r>
        <w:rPr>
          <w:rFonts w:cs="Tahoma"/>
          <w:sz w:val="24"/>
          <w:szCs w:val="24"/>
        </w:rPr>
        <w:t xml:space="preserve"> will be required to spend 20% of their on-duty enforcement time within the </w:t>
      </w:r>
      <w:r w:rsidR="008F23DA">
        <w:rPr>
          <w:rFonts w:cs="Tahoma"/>
          <w:sz w:val="24"/>
          <w:szCs w:val="24"/>
        </w:rPr>
        <w:t xml:space="preserve">DDACTS zone in </w:t>
      </w:r>
      <w:r w:rsidR="00A36130">
        <w:rPr>
          <w:rFonts w:cs="Tahoma"/>
          <w:sz w:val="24"/>
          <w:szCs w:val="24"/>
        </w:rPr>
        <w:t xml:space="preserve">an </w:t>
      </w:r>
      <w:r w:rsidR="008F23DA">
        <w:rPr>
          <w:rFonts w:cs="Tahoma"/>
          <w:sz w:val="24"/>
          <w:szCs w:val="24"/>
        </w:rPr>
        <w:t>effort to increase an overall percentage of work time in this designated area</w:t>
      </w:r>
      <w:r>
        <w:rPr>
          <w:rFonts w:cs="Tahoma"/>
          <w:sz w:val="24"/>
          <w:szCs w:val="24"/>
        </w:rPr>
        <w:t xml:space="preserve">.  </w:t>
      </w:r>
      <w:r w:rsidR="00E918B8">
        <w:rPr>
          <w:rFonts w:cs="Tahoma"/>
          <w:sz w:val="24"/>
          <w:szCs w:val="24"/>
        </w:rPr>
        <w:t xml:space="preserve">CST, Day, and Night Traffic Teams will be shifted as needed by the Special Enforcement Lieutenant, based on ongoing analysis of activity, crime, and crashes.  As the clusters of crime and crashes fluctuate, the teams’ hours will be adjusted accordingly for maximum effort and impact.  </w:t>
      </w:r>
    </w:p>
    <w:p w:rsidR="00197F58" w:rsidRDefault="00197F58" w:rsidP="00C976EB">
      <w:pPr>
        <w:contextualSpacing/>
        <w:rPr>
          <w:rFonts w:cs="Tahoma"/>
          <w:sz w:val="24"/>
          <w:szCs w:val="24"/>
        </w:rPr>
      </w:pPr>
    </w:p>
    <w:p w:rsidR="00197F58" w:rsidRDefault="00197F58" w:rsidP="00C976EB">
      <w:pPr>
        <w:contextualSpacing/>
        <w:rPr>
          <w:rFonts w:cs="Tahoma"/>
          <w:sz w:val="24"/>
          <w:szCs w:val="24"/>
        </w:rPr>
      </w:pPr>
      <w:r>
        <w:rPr>
          <w:rFonts w:cs="Tahoma"/>
          <w:sz w:val="24"/>
          <w:szCs w:val="24"/>
        </w:rPr>
        <w:t xml:space="preserve">The Patrol Division will </w:t>
      </w:r>
      <w:r w:rsidR="007F7A5F">
        <w:rPr>
          <w:rFonts w:cs="Tahoma"/>
          <w:sz w:val="24"/>
          <w:szCs w:val="24"/>
        </w:rPr>
        <w:t xml:space="preserve">have a partially direct and partially indirect involvement in DDACTS </w:t>
      </w:r>
      <w:r w:rsidR="00593A25">
        <w:rPr>
          <w:rFonts w:cs="Tahoma"/>
          <w:sz w:val="24"/>
          <w:szCs w:val="24"/>
        </w:rPr>
        <w:t>4</w:t>
      </w:r>
      <w:r w:rsidR="007F7A5F">
        <w:rPr>
          <w:rFonts w:cs="Tahoma"/>
          <w:sz w:val="24"/>
          <w:szCs w:val="24"/>
        </w:rPr>
        <w:t xml:space="preserve">.  The DDACTS zone coincides with the </w:t>
      </w:r>
      <w:r w:rsidR="00593A25">
        <w:rPr>
          <w:rFonts w:cs="Tahoma"/>
          <w:sz w:val="24"/>
          <w:szCs w:val="24"/>
        </w:rPr>
        <w:t>Santan North Patrol Zone</w:t>
      </w:r>
      <w:r w:rsidR="00E918B8">
        <w:rPr>
          <w:rFonts w:cs="Tahoma"/>
          <w:sz w:val="24"/>
          <w:szCs w:val="24"/>
        </w:rPr>
        <w:t xml:space="preserve">.   </w:t>
      </w:r>
      <w:r w:rsidR="00593A25">
        <w:rPr>
          <w:rFonts w:cs="Tahoma"/>
          <w:sz w:val="24"/>
          <w:szCs w:val="24"/>
        </w:rPr>
        <w:t>Affected patrol officers</w:t>
      </w:r>
      <w:r w:rsidR="00E918B8">
        <w:rPr>
          <w:rFonts w:cs="Tahoma"/>
          <w:sz w:val="24"/>
          <w:szCs w:val="24"/>
        </w:rPr>
        <w:t xml:space="preserve"> work a larger patrol zone but will be required to focus at least 20 percent of their </w:t>
      </w:r>
      <w:r w:rsidR="007F7A5F">
        <w:rPr>
          <w:rFonts w:cs="Tahoma"/>
          <w:sz w:val="24"/>
          <w:szCs w:val="24"/>
        </w:rPr>
        <w:t xml:space="preserve">patrol work in the </w:t>
      </w:r>
      <w:r w:rsidR="00E918B8">
        <w:rPr>
          <w:rFonts w:cs="Tahoma"/>
          <w:sz w:val="24"/>
          <w:szCs w:val="24"/>
        </w:rPr>
        <w:t xml:space="preserve">DDACTS </w:t>
      </w:r>
      <w:r w:rsidR="00593A25">
        <w:rPr>
          <w:rFonts w:cs="Tahoma"/>
          <w:sz w:val="24"/>
          <w:szCs w:val="24"/>
        </w:rPr>
        <w:t>4 zone</w:t>
      </w:r>
      <w:r w:rsidR="00E918B8">
        <w:rPr>
          <w:rFonts w:cs="Tahoma"/>
          <w:sz w:val="24"/>
          <w:szCs w:val="24"/>
        </w:rPr>
        <w:t xml:space="preserve">.  They will have direct responsibility to DDACTS </w:t>
      </w:r>
      <w:r w:rsidR="00593A25">
        <w:rPr>
          <w:rFonts w:cs="Tahoma"/>
          <w:sz w:val="24"/>
          <w:szCs w:val="24"/>
        </w:rPr>
        <w:t>4</w:t>
      </w:r>
      <w:r w:rsidR="00E918B8">
        <w:rPr>
          <w:rFonts w:cs="Tahoma"/>
          <w:sz w:val="24"/>
          <w:szCs w:val="24"/>
        </w:rPr>
        <w:t xml:space="preserve">.  Additionally, other patrol zone officers who are not required direct responsibility and who conduct </w:t>
      </w:r>
      <w:r>
        <w:rPr>
          <w:rFonts w:cs="Tahoma"/>
          <w:sz w:val="24"/>
          <w:szCs w:val="24"/>
        </w:rPr>
        <w:t>enforcement and activity identified specif</w:t>
      </w:r>
      <w:r w:rsidR="007F7A5F">
        <w:rPr>
          <w:rFonts w:cs="Tahoma"/>
          <w:sz w:val="24"/>
          <w:szCs w:val="24"/>
        </w:rPr>
        <w:t>ically within the DDACTS zone</w:t>
      </w:r>
      <w:r>
        <w:rPr>
          <w:rFonts w:cs="Tahoma"/>
          <w:sz w:val="24"/>
          <w:szCs w:val="24"/>
        </w:rPr>
        <w:t xml:space="preserve"> will be included within the analysis.  </w:t>
      </w:r>
    </w:p>
    <w:p w:rsidR="007B7F3F" w:rsidRDefault="007B7F3F" w:rsidP="00C976EB">
      <w:pPr>
        <w:contextualSpacing/>
        <w:rPr>
          <w:rFonts w:cs="Tahoma"/>
          <w:sz w:val="24"/>
          <w:szCs w:val="24"/>
        </w:rPr>
      </w:pPr>
    </w:p>
    <w:p w:rsidR="00551561" w:rsidRDefault="00551561" w:rsidP="00C976EB">
      <w:pPr>
        <w:contextualSpacing/>
        <w:rPr>
          <w:rFonts w:cs="Tahoma"/>
          <w:sz w:val="24"/>
          <w:szCs w:val="24"/>
        </w:rPr>
      </w:pPr>
    </w:p>
    <w:p w:rsidR="007B7F3F" w:rsidRDefault="007B7F3F" w:rsidP="007245D3">
      <w:pPr>
        <w:spacing w:after="0"/>
        <w:contextualSpacing/>
        <w:rPr>
          <w:rFonts w:cs="Tahoma"/>
          <w:b/>
          <w:sz w:val="24"/>
          <w:szCs w:val="24"/>
        </w:rPr>
      </w:pPr>
      <w:r w:rsidRPr="007B7F3F">
        <w:rPr>
          <w:rFonts w:cs="Tahoma"/>
          <w:b/>
          <w:sz w:val="24"/>
          <w:szCs w:val="24"/>
        </w:rPr>
        <w:t>DDACTS Timeline</w:t>
      </w:r>
      <w:r w:rsidR="00A5309A">
        <w:rPr>
          <w:rFonts w:cs="Tahoma"/>
          <w:b/>
          <w:sz w:val="24"/>
          <w:szCs w:val="24"/>
        </w:rPr>
        <w:t>: Operational Period – J</w:t>
      </w:r>
      <w:r w:rsidR="00024F0F">
        <w:rPr>
          <w:rFonts w:cs="Tahoma"/>
          <w:b/>
          <w:sz w:val="24"/>
          <w:szCs w:val="24"/>
        </w:rPr>
        <w:t>uly</w:t>
      </w:r>
      <w:r w:rsidR="00A5309A">
        <w:rPr>
          <w:rFonts w:cs="Tahoma"/>
          <w:b/>
          <w:sz w:val="24"/>
          <w:szCs w:val="24"/>
        </w:rPr>
        <w:t xml:space="preserve"> 1, 2015 – </w:t>
      </w:r>
      <w:r w:rsidR="00024F0F">
        <w:rPr>
          <w:rFonts w:cs="Tahoma"/>
          <w:b/>
          <w:sz w:val="24"/>
          <w:szCs w:val="24"/>
        </w:rPr>
        <w:t>June</w:t>
      </w:r>
      <w:r w:rsidR="00A5309A">
        <w:rPr>
          <w:rFonts w:cs="Tahoma"/>
          <w:b/>
          <w:sz w:val="24"/>
          <w:szCs w:val="24"/>
        </w:rPr>
        <w:t xml:space="preserve"> 3</w:t>
      </w:r>
      <w:r w:rsidR="00024F0F">
        <w:rPr>
          <w:rFonts w:cs="Tahoma"/>
          <w:b/>
          <w:sz w:val="24"/>
          <w:szCs w:val="24"/>
        </w:rPr>
        <w:t>0</w:t>
      </w:r>
      <w:r w:rsidR="00A5309A">
        <w:rPr>
          <w:rFonts w:cs="Tahoma"/>
          <w:b/>
          <w:sz w:val="24"/>
          <w:szCs w:val="24"/>
        </w:rPr>
        <w:t>, 201</w:t>
      </w:r>
      <w:r w:rsidR="00024F0F">
        <w:rPr>
          <w:rFonts w:cs="Tahoma"/>
          <w:b/>
          <w:sz w:val="24"/>
          <w:szCs w:val="24"/>
        </w:rPr>
        <w:t>6</w:t>
      </w:r>
    </w:p>
    <w:p w:rsidR="00A36130" w:rsidRPr="007245D3" w:rsidRDefault="00A36130" w:rsidP="007245D3">
      <w:pPr>
        <w:spacing w:after="0" w:line="240" w:lineRule="auto"/>
        <w:contextualSpacing/>
        <w:rPr>
          <w:rFonts w:cs="Tahoma"/>
          <w:b/>
          <w:sz w:val="2"/>
          <w:szCs w:val="2"/>
        </w:rPr>
      </w:pPr>
    </w:p>
    <w:p w:rsidR="007245D3" w:rsidRDefault="007245D3" w:rsidP="00C976EB">
      <w:pPr>
        <w:contextualSpacing/>
        <w:rPr>
          <w:rFonts w:cs="Tahoma"/>
          <w:sz w:val="24"/>
          <w:szCs w:val="24"/>
        </w:rPr>
      </w:pPr>
    </w:p>
    <w:tbl>
      <w:tblPr>
        <w:tblStyle w:val="LightShading-Accent5"/>
        <w:tblW w:w="9360" w:type="dxa"/>
        <w:tblLook w:val="04A0" w:firstRow="1" w:lastRow="0" w:firstColumn="1" w:lastColumn="0" w:noHBand="0" w:noVBand="1"/>
      </w:tblPr>
      <w:tblGrid>
        <w:gridCol w:w="2336"/>
        <w:gridCol w:w="2160"/>
        <w:gridCol w:w="4864"/>
      </w:tblGrid>
      <w:tr w:rsidR="007B7F3F" w:rsidRPr="007B7F3F" w:rsidTr="007245D3">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336" w:type="dxa"/>
            <w:hideMark/>
          </w:tcPr>
          <w:p w:rsidR="007B7F3F" w:rsidRPr="007B7F3F" w:rsidRDefault="007B7F3F" w:rsidP="007B7F3F">
            <w:pPr>
              <w:rPr>
                <w:rFonts w:ascii="Arial" w:eastAsia="Times New Roman" w:hAnsi="Arial" w:cs="Arial"/>
                <w:sz w:val="24"/>
                <w:szCs w:val="24"/>
              </w:rPr>
            </w:pPr>
            <w:r w:rsidRPr="007B7F3F">
              <w:rPr>
                <w:rFonts w:ascii="Calibri" w:eastAsia="Times New Roman" w:hAnsi="Calibri" w:cs="Arial"/>
                <w:b w:val="0"/>
                <w:bCs w:val="0"/>
                <w:color w:val="000000"/>
                <w:kern w:val="24"/>
                <w:sz w:val="24"/>
                <w:szCs w:val="24"/>
              </w:rPr>
              <w:t xml:space="preserve">Month </w:t>
            </w:r>
          </w:p>
        </w:tc>
        <w:tc>
          <w:tcPr>
            <w:tcW w:w="2160" w:type="dxa"/>
            <w:hideMark/>
          </w:tcPr>
          <w:p w:rsidR="007B7F3F" w:rsidRPr="007B7F3F" w:rsidRDefault="007B7F3F" w:rsidP="007B7F3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b w:val="0"/>
                <w:bCs w:val="0"/>
                <w:color w:val="000000"/>
                <w:kern w:val="24"/>
                <w:sz w:val="24"/>
                <w:szCs w:val="24"/>
              </w:rPr>
              <w:t xml:space="preserve">Meeting </w:t>
            </w:r>
          </w:p>
        </w:tc>
        <w:tc>
          <w:tcPr>
            <w:tcW w:w="4864" w:type="dxa"/>
            <w:hideMark/>
          </w:tcPr>
          <w:p w:rsidR="007B7F3F" w:rsidRPr="007B7F3F" w:rsidRDefault="007B7F3F" w:rsidP="007B7F3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b w:val="0"/>
                <w:bCs w:val="0"/>
                <w:color w:val="000000"/>
                <w:kern w:val="24"/>
                <w:sz w:val="24"/>
                <w:szCs w:val="24"/>
              </w:rPr>
              <w:t xml:space="preserve">DDACTS Phase </w:t>
            </w:r>
          </w:p>
        </w:tc>
      </w:tr>
      <w:tr w:rsidR="007B7F3F" w:rsidRPr="007B7F3F" w:rsidTr="007245D3">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336" w:type="dxa"/>
            <w:hideMark/>
          </w:tcPr>
          <w:p w:rsidR="007B7F3F" w:rsidRPr="007B7F3F" w:rsidRDefault="00593A25" w:rsidP="00E918B8">
            <w:pPr>
              <w:rPr>
                <w:rFonts w:ascii="Arial" w:eastAsia="Times New Roman" w:hAnsi="Arial" w:cs="Arial"/>
                <w:sz w:val="24"/>
                <w:szCs w:val="24"/>
              </w:rPr>
            </w:pPr>
            <w:r>
              <w:rPr>
                <w:rFonts w:ascii="Calibri" w:eastAsia="Times New Roman" w:hAnsi="Calibri" w:cs="Arial"/>
                <w:color w:val="000000"/>
                <w:kern w:val="24"/>
                <w:sz w:val="24"/>
                <w:szCs w:val="24"/>
              </w:rPr>
              <w:t xml:space="preserve">June </w:t>
            </w:r>
            <w:r w:rsidR="007B7F3F" w:rsidRPr="007B7F3F">
              <w:rPr>
                <w:rFonts w:ascii="Calibri" w:eastAsia="Times New Roman" w:hAnsi="Calibri" w:cs="Arial"/>
                <w:color w:val="000000"/>
                <w:kern w:val="24"/>
                <w:sz w:val="24"/>
                <w:szCs w:val="24"/>
              </w:rPr>
              <w:t>201</w:t>
            </w:r>
            <w:r w:rsidR="00E918B8">
              <w:rPr>
                <w:rFonts w:ascii="Calibri" w:eastAsia="Times New Roman" w:hAnsi="Calibri" w:cs="Arial"/>
                <w:color w:val="000000"/>
                <w:kern w:val="24"/>
                <w:sz w:val="24"/>
                <w:szCs w:val="24"/>
              </w:rPr>
              <w:t>5</w:t>
            </w:r>
            <w:r w:rsidR="007B7F3F" w:rsidRPr="007B7F3F">
              <w:rPr>
                <w:rFonts w:ascii="Calibri" w:eastAsia="Times New Roman" w:hAnsi="Calibri" w:cs="Arial"/>
                <w:color w:val="000000"/>
                <w:kern w:val="24"/>
                <w:sz w:val="24"/>
                <w:szCs w:val="24"/>
              </w:rPr>
              <w:t xml:space="preserve"> </w:t>
            </w:r>
          </w:p>
        </w:tc>
        <w:tc>
          <w:tcPr>
            <w:tcW w:w="2160" w:type="dxa"/>
            <w:hideMark/>
          </w:tcPr>
          <w:p w:rsidR="007B7F3F" w:rsidRPr="007B7F3F" w:rsidRDefault="00A11AAF" w:rsidP="007B7F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Calibri" w:eastAsia="Times New Roman" w:hAnsi="Calibri" w:cs="Arial"/>
                <w:color w:val="000000"/>
                <w:kern w:val="24"/>
                <w:sz w:val="24"/>
                <w:szCs w:val="24"/>
              </w:rPr>
              <w:t>ILP</w:t>
            </w:r>
          </w:p>
          <w:p w:rsidR="007B7F3F" w:rsidRPr="007B7F3F" w:rsidRDefault="007B7F3F" w:rsidP="007B7F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Command Staff</w:t>
            </w:r>
          </w:p>
        </w:tc>
        <w:tc>
          <w:tcPr>
            <w:tcW w:w="4864" w:type="dxa"/>
            <w:hideMark/>
          </w:tcPr>
          <w:p w:rsidR="007B7F3F" w:rsidRPr="007B7F3F" w:rsidRDefault="007B7F3F" w:rsidP="007B7F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B7F3F">
              <w:rPr>
                <w:rFonts w:ascii="Calibri" w:eastAsia="Times New Roman" w:hAnsi="Calibri" w:cs="Arial"/>
                <w:color w:val="000000"/>
                <w:kern w:val="24"/>
              </w:rPr>
              <w:t xml:space="preserve">DDACTS Education </w:t>
            </w:r>
            <w:r w:rsidR="006B343E" w:rsidRPr="006B343E">
              <w:rPr>
                <w:rFonts w:ascii="Calibri" w:eastAsia="Times New Roman" w:hAnsi="Calibri" w:cs="Arial"/>
                <w:color w:val="000000"/>
                <w:kern w:val="24"/>
              </w:rPr>
              <w:t>(Department &amp; Community)</w:t>
            </w:r>
          </w:p>
          <w:p w:rsidR="007B7F3F" w:rsidRPr="007B7F3F" w:rsidRDefault="007B7F3F" w:rsidP="00593A2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7B7F3F">
              <w:rPr>
                <w:rFonts w:ascii="Calibri" w:eastAsia="Times New Roman" w:hAnsi="Calibri" w:cs="Arial"/>
                <w:color w:val="000000"/>
                <w:kern w:val="24"/>
              </w:rPr>
              <w:t>Preview of DDACTS #</w:t>
            </w:r>
            <w:r w:rsidR="00593A25">
              <w:rPr>
                <w:rFonts w:ascii="Calibri" w:eastAsia="Times New Roman" w:hAnsi="Calibri" w:cs="Arial"/>
                <w:color w:val="000000"/>
                <w:kern w:val="24"/>
              </w:rPr>
              <w:t>4</w:t>
            </w:r>
            <w:r w:rsidRPr="007B7F3F">
              <w:rPr>
                <w:rFonts w:ascii="Calibri" w:eastAsia="Times New Roman" w:hAnsi="Calibri" w:cs="Arial"/>
                <w:color w:val="000000"/>
                <w:kern w:val="24"/>
              </w:rPr>
              <w:t xml:space="preserve"> </w:t>
            </w:r>
          </w:p>
        </w:tc>
      </w:tr>
      <w:tr w:rsidR="007B7F3F" w:rsidRPr="007B7F3F" w:rsidTr="007245D3">
        <w:trPr>
          <w:trHeight w:val="286"/>
        </w:trPr>
        <w:tc>
          <w:tcPr>
            <w:cnfStyle w:val="001000000000" w:firstRow="0" w:lastRow="0" w:firstColumn="1" w:lastColumn="0" w:oddVBand="0" w:evenVBand="0" w:oddHBand="0" w:evenHBand="0" w:firstRowFirstColumn="0" w:firstRowLastColumn="0" w:lastRowFirstColumn="0" w:lastRowLastColumn="0"/>
            <w:tcW w:w="2336" w:type="dxa"/>
            <w:hideMark/>
          </w:tcPr>
          <w:p w:rsidR="007B7F3F" w:rsidRPr="007B7F3F" w:rsidRDefault="00E918B8" w:rsidP="00024F0F">
            <w:pPr>
              <w:rPr>
                <w:rFonts w:ascii="Arial" w:eastAsia="Times New Roman" w:hAnsi="Arial" w:cs="Arial"/>
                <w:sz w:val="24"/>
                <w:szCs w:val="24"/>
              </w:rPr>
            </w:pPr>
            <w:r>
              <w:rPr>
                <w:rFonts w:ascii="Calibri" w:eastAsia="Times New Roman" w:hAnsi="Calibri" w:cs="Arial"/>
                <w:color w:val="000000"/>
                <w:kern w:val="24"/>
                <w:sz w:val="24"/>
                <w:szCs w:val="24"/>
              </w:rPr>
              <w:t>J</w:t>
            </w:r>
            <w:r w:rsidR="00024F0F">
              <w:rPr>
                <w:rFonts w:ascii="Calibri" w:eastAsia="Times New Roman" w:hAnsi="Calibri" w:cs="Arial"/>
                <w:color w:val="000000"/>
                <w:kern w:val="24"/>
                <w:sz w:val="24"/>
                <w:szCs w:val="24"/>
              </w:rPr>
              <w:t>uly</w:t>
            </w:r>
            <w:r w:rsidR="007B7F3F" w:rsidRPr="007B7F3F">
              <w:rPr>
                <w:rFonts w:ascii="Calibri" w:eastAsia="Times New Roman" w:hAnsi="Calibri" w:cs="Arial"/>
                <w:color w:val="000000"/>
                <w:kern w:val="24"/>
                <w:sz w:val="24"/>
                <w:szCs w:val="24"/>
              </w:rPr>
              <w:t xml:space="preserve"> 201</w:t>
            </w:r>
            <w:r>
              <w:rPr>
                <w:rFonts w:ascii="Calibri" w:eastAsia="Times New Roman" w:hAnsi="Calibri" w:cs="Arial"/>
                <w:color w:val="000000"/>
                <w:kern w:val="24"/>
                <w:sz w:val="24"/>
                <w:szCs w:val="24"/>
              </w:rPr>
              <w:t>5</w:t>
            </w:r>
            <w:r w:rsidR="007B7F3F" w:rsidRPr="007B7F3F">
              <w:rPr>
                <w:rFonts w:ascii="Calibri" w:eastAsia="Times New Roman" w:hAnsi="Calibri" w:cs="Arial"/>
                <w:color w:val="000000"/>
                <w:kern w:val="24"/>
                <w:sz w:val="24"/>
                <w:szCs w:val="24"/>
              </w:rPr>
              <w:t xml:space="preserve"> </w:t>
            </w:r>
          </w:p>
        </w:tc>
        <w:tc>
          <w:tcPr>
            <w:tcW w:w="2160" w:type="dxa"/>
            <w:hideMark/>
          </w:tcPr>
          <w:p w:rsidR="007B7F3F" w:rsidRPr="007B7F3F" w:rsidRDefault="00A11AAF" w:rsidP="007B7F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Calibri" w:eastAsia="Times New Roman" w:hAnsi="Calibri" w:cs="Arial"/>
                <w:color w:val="000000"/>
                <w:kern w:val="24"/>
                <w:sz w:val="24"/>
                <w:szCs w:val="24"/>
              </w:rPr>
              <w:t>ILP</w:t>
            </w:r>
            <w:r w:rsidR="007B7F3F" w:rsidRPr="007B7F3F">
              <w:rPr>
                <w:rFonts w:ascii="Calibri" w:eastAsia="Times New Roman" w:hAnsi="Calibri" w:cs="Arial"/>
                <w:color w:val="000000"/>
                <w:kern w:val="24"/>
                <w:sz w:val="24"/>
                <w:szCs w:val="24"/>
              </w:rPr>
              <w:t xml:space="preserve"> </w:t>
            </w:r>
          </w:p>
        </w:tc>
        <w:tc>
          <w:tcPr>
            <w:tcW w:w="4864" w:type="dxa"/>
            <w:hideMark/>
          </w:tcPr>
          <w:p w:rsidR="007B7F3F" w:rsidRPr="007B7F3F" w:rsidRDefault="007B7F3F" w:rsidP="00A03EB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Implementation of DDACTS #</w:t>
            </w:r>
            <w:r w:rsidR="00A03EBE">
              <w:rPr>
                <w:rFonts w:ascii="Calibri" w:eastAsia="Times New Roman" w:hAnsi="Calibri" w:cs="Arial"/>
                <w:color w:val="000000"/>
                <w:kern w:val="24"/>
                <w:sz w:val="24"/>
                <w:szCs w:val="24"/>
              </w:rPr>
              <w:t>3</w:t>
            </w:r>
            <w:r w:rsidRPr="007B7F3F">
              <w:rPr>
                <w:rFonts w:ascii="Calibri" w:eastAsia="Times New Roman" w:hAnsi="Calibri" w:cs="Arial"/>
                <w:color w:val="000000"/>
                <w:kern w:val="24"/>
                <w:sz w:val="24"/>
                <w:szCs w:val="24"/>
              </w:rPr>
              <w:t xml:space="preserve"> </w:t>
            </w:r>
          </w:p>
        </w:tc>
      </w:tr>
      <w:tr w:rsidR="007B7F3F" w:rsidRPr="007B7F3F" w:rsidTr="007245D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336" w:type="dxa"/>
            <w:hideMark/>
          </w:tcPr>
          <w:p w:rsidR="007B7F3F" w:rsidRPr="00F72776" w:rsidRDefault="00024F0F" w:rsidP="00024F0F">
            <w:pPr>
              <w:rPr>
                <w:rFonts w:ascii="Arial" w:eastAsia="Times New Roman" w:hAnsi="Arial" w:cs="Arial"/>
                <w:sz w:val="24"/>
                <w:szCs w:val="24"/>
              </w:rPr>
            </w:pPr>
            <w:r>
              <w:rPr>
                <w:rFonts w:ascii="Calibri" w:eastAsia="Times New Roman" w:hAnsi="Calibri" w:cs="Arial"/>
                <w:color w:val="000000"/>
                <w:kern w:val="24"/>
                <w:sz w:val="24"/>
                <w:szCs w:val="24"/>
              </w:rPr>
              <w:t>Aug</w:t>
            </w:r>
            <w:r w:rsidR="007B7F3F" w:rsidRPr="00F72776">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Sep</w:t>
            </w:r>
            <w:r w:rsidR="007B7F3F" w:rsidRPr="00F72776">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Oct</w:t>
            </w:r>
            <w:r w:rsidR="007B7F3F" w:rsidRPr="00F72776">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Nov &amp; Dec</w:t>
            </w:r>
            <w:r w:rsidR="00A03EBE">
              <w:rPr>
                <w:rFonts w:ascii="Calibri" w:eastAsia="Times New Roman" w:hAnsi="Calibri" w:cs="Arial"/>
                <w:color w:val="000000"/>
                <w:kern w:val="24"/>
                <w:sz w:val="24"/>
                <w:szCs w:val="24"/>
              </w:rPr>
              <w:t xml:space="preserve"> </w:t>
            </w:r>
            <w:r w:rsidR="00913A54">
              <w:rPr>
                <w:rFonts w:ascii="Calibri" w:eastAsia="Times New Roman" w:hAnsi="Calibri" w:cs="Arial"/>
                <w:color w:val="000000"/>
                <w:kern w:val="24"/>
                <w:sz w:val="24"/>
                <w:szCs w:val="24"/>
              </w:rPr>
              <w:t>201</w:t>
            </w:r>
            <w:r>
              <w:rPr>
                <w:rFonts w:ascii="Calibri" w:eastAsia="Times New Roman" w:hAnsi="Calibri" w:cs="Arial"/>
                <w:color w:val="000000"/>
                <w:kern w:val="24"/>
                <w:sz w:val="24"/>
                <w:szCs w:val="24"/>
              </w:rPr>
              <w:t>5</w:t>
            </w:r>
          </w:p>
        </w:tc>
        <w:tc>
          <w:tcPr>
            <w:tcW w:w="2160" w:type="dxa"/>
            <w:hideMark/>
          </w:tcPr>
          <w:p w:rsidR="007B7F3F" w:rsidRPr="007B7F3F" w:rsidRDefault="00A11AAF" w:rsidP="007B7F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Calibri" w:eastAsia="Times New Roman" w:hAnsi="Calibri" w:cs="Arial"/>
                <w:color w:val="000000"/>
                <w:kern w:val="24"/>
                <w:sz w:val="24"/>
                <w:szCs w:val="24"/>
              </w:rPr>
              <w:t>ILPs</w:t>
            </w:r>
            <w:r w:rsidR="007B7F3F" w:rsidRPr="007B7F3F">
              <w:rPr>
                <w:rFonts w:ascii="Calibri" w:eastAsia="Times New Roman" w:hAnsi="Calibri" w:cs="Arial"/>
                <w:color w:val="000000"/>
                <w:kern w:val="24"/>
                <w:sz w:val="24"/>
                <w:szCs w:val="24"/>
              </w:rPr>
              <w:t xml:space="preserve"> </w:t>
            </w:r>
          </w:p>
        </w:tc>
        <w:tc>
          <w:tcPr>
            <w:tcW w:w="4864" w:type="dxa"/>
            <w:hideMark/>
          </w:tcPr>
          <w:p w:rsidR="007B7F3F" w:rsidRPr="007B7F3F" w:rsidRDefault="007B7F3F" w:rsidP="00024F0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Report Cards of DDACTS #</w:t>
            </w:r>
            <w:r w:rsidR="00024F0F">
              <w:rPr>
                <w:rFonts w:ascii="Calibri" w:eastAsia="Times New Roman" w:hAnsi="Calibri" w:cs="Arial"/>
                <w:color w:val="000000"/>
                <w:kern w:val="24"/>
                <w:sz w:val="24"/>
                <w:szCs w:val="24"/>
              </w:rPr>
              <w:t>4</w:t>
            </w:r>
            <w:r w:rsidR="00A03EBE">
              <w:rPr>
                <w:rFonts w:ascii="Calibri" w:eastAsia="Times New Roman" w:hAnsi="Calibri" w:cs="Arial"/>
                <w:color w:val="000000"/>
                <w:kern w:val="24"/>
                <w:sz w:val="24"/>
                <w:szCs w:val="24"/>
              </w:rPr>
              <w:t xml:space="preserve"> and six month evaluation in J</w:t>
            </w:r>
            <w:r w:rsidR="00024F0F">
              <w:rPr>
                <w:rFonts w:ascii="Calibri" w:eastAsia="Times New Roman" w:hAnsi="Calibri" w:cs="Arial"/>
                <w:color w:val="000000"/>
                <w:kern w:val="24"/>
                <w:sz w:val="24"/>
                <w:szCs w:val="24"/>
              </w:rPr>
              <w:t>anuary 2016</w:t>
            </w:r>
          </w:p>
        </w:tc>
      </w:tr>
      <w:tr w:rsidR="007B7F3F" w:rsidRPr="007B7F3F" w:rsidTr="007245D3">
        <w:trPr>
          <w:trHeight w:val="376"/>
        </w:trPr>
        <w:tc>
          <w:tcPr>
            <w:cnfStyle w:val="001000000000" w:firstRow="0" w:lastRow="0" w:firstColumn="1" w:lastColumn="0" w:oddVBand="0" w:evenVBand="0" w:oddHBand="0" w:evenHBand="0" w:firstRowFirstColumn="0" w:firstRowLastColumn="0" w:lastRowFirstColumn="0" w:lastRowLastColumn="0"/>
            <w:tcW w:w="2336" w:type="dxa"/>
            <w:hideMark/>
          </w:tcPr>
          <w:p w:rsidR="007B7F3F" w:rsidRPr="007B7F3F" w:rsidRDefault="00A03EBE" w:rsidP="00024F0F">
            <w:pPr>
              <w:rPr>
                <w:rFonts w:ascii="Arial" w:eastAsia="Times New Roman" w:hAnsi="Arial" w:cs="Arial"/>
                <w:sz w:val="24"/>
                <w:szCs w:val="24"/>
              </w:rPr>
            </w:pPr>
            <w:r>
              <w:rPr>
                <w:rFonts w:ascii="Calibri" w:eastAsia="Times New Roman" w:hAnsi="Calibri" w:cs="Arial"/>
                <w:color w:val="000000"/>
                <w:kern w:val="24"/>
                <w:sz w:val="24"/>
                <w:szCs w:val="24"/>
              </w:rPr>
              <w:t>J</w:t>
            </w:r>
            <w:r w:rsidR="00024F0F">
              <w:rPr>
                <w:rFonts w:ascii="Calibri" w:eastAsia="Times New Roman" w:hAnsi="Calibri" w:cs="Arial"/>
                <w:color w:val="000000"/>
                <w:kern w:val="24"/>
                <w:sz w:val="24"/>
                <w:szCs w:val="24"/>
              </w:rPr>
              <w:t>an</w:t>
            </w:r>
            <w:r w:rsidR="007B7F3F" w:rsidRPr="007B7F3F">
              <w:rPr>
                <w:rFonts w:ascii="Calibri" w:eastAsia="Times New Roman" w:hAnsi="Calibri" w:cs="Arial"/>
                <w:color w:val="000000"/>
                <w:kern w:val="24"/>
                <w:sz w:val="24"/>
                <w:szCs w:val="24"/>
              </w:rPr>
              <w:t xml:space="preserve"> 201</w:t>
            </w:r>
            <w:r w:rsidR="00024F0F">
              <w:rPr>
                <w:rFonts w:ascii="Calibri" w:eastAsia="Times New Roman" w:hAnsi="Calibri" w:cs="Arial"/>
                <w:color w:val="000000"/>
                <w:kern w:val="24"/>
                <w:sz w:val="24"/>
                <w:szCs w:val="24"/>
              </w:rPr>
              <w:t>6</w:t>
            </w:r>
            <w:r w:rsidR="007B7F3F" w:rsidRPr="007B7F3F">
              <w:rPr>
                <w:rFonts w:ascii="Calibri" w:eastAsia="Times New Roman" w:hAnsi="Calibri" w:cs="Arial"/>
                <w:color w:val="000000"/>
                <w:kern w:val="24"/>
                <w:sz w:val="24"/>
                <w:szCs w:val="24"/>
              </w:rPr>
              <w:t xml:space="preserve"> </w:t>
            </w:r>
          </w:p>
        </w:tc>
        <w:tc>
          <w:tcPr>
            <w:tcW w:w="2160" w:type="dxa"/>
            <w:hideMark/>
          </w:tcPr>
          <w:p w:rsidR="007B7F3F" w:rsidRPr="007B7F3F" w:rsidRDefault="007B7F3F" w:rsidP="007B7F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Command Staff</w:t>
            </w:r>
          </w:p>
        </w:tc>
        <w:tc>
          <w:tcPr>
            <w:tcW w:w="4864" w:type="dxa"/>
            <w:hideMark/>
          </w:tcPr>
          <w:p w:rsidR="007B7F3F" w:rsidRPr="007B7F3F" w:rsidRDefault="007B7F3F" w:rsidP="00024F0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7B7F3F">
              <w:rPr>
                <w:rFonts w:ascii="Calibri" w:eastAsia="Times New Roman" w:hAnsi="Calibri" w:cs="Arial"/>
                <w:color w:val="000000"/>
                <w:kern w:val="24"/>
              </w:rPr>
              <w:t>Evaluation of DDACTS #</w:t>
            </w:r>
            <w:r w:rsidR="00024F0F">
              <w:rPr>
                <w:rFonts w:ascii="Calibri" w:eastAsia="Times New Roman" w:hAnsi="Calibri" w:cs="Arial"/>
                <w:color w:val="000000"/>
                <w:kern w:val="24"/>
              </w:rPr>
              <w:t>4</w:t>
            </w:r>
            <w:r w:rsidRPr="007B7F3F">
              <w:rPr>
                <w:rFonts w:ascii="Arial" w:eastAsia="Times New Roman" w:hAnsi="Arial" w:cs="Arial"/>
              </w:rPr>
              <w:t xml:space="preserve">; </w:t>
            </w:r>
            <w:r w:rsidR="00A03EBE">
              <w:rPr>
                <w:rFonts w:ascii="Calibri" w:eastAsia="Times New Roman" w:hAnsi="Calibri" w:cs="Arial"/>
                <w:color w:val="000000"/>
                <w:kern w:val="24"/>
              </w:rPr>
              <w:t>Adjustments as needed</w:t>
            </w:r>
            <w:r w:rsidRPr="007B7F3F">
              <w:rPr>
                <w:rFonts w:ascii="Calibri" w:eastAsia="Times New Roman" w:hAnsi="Calibri" w:cs="Arial"/>
                <w:color w:val="000000"/>
                <w:kern w:val="24"/>
              </w:rPr>
              <w:t xml:space="preserve"> </w:t>
            </w:r>
          </w:p>
        </w:tc>
      </w:tr>
      <w:tr w:rsidR="00A03EBE" w:rsidRPr="007B7F3F" w:rsidTr="007245D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36" w:type="dxa"/>
            <w:hideMark/>
          </w:tcPr>
          <w:p w:rsidR="00A03EBE" w:rsidRPr="007B7F3F" w:rsidRDefault="00024F0F" w:rsidP="00024F0F">
            <w:pPr>
              <w:rPr>
                <w:rFonts w:ascii="Arial" w:eastAsia="Times New Roman" w:hAnsi="Arial" w:cs="Arial"/>
                <w:sz w:val="24"/>
                <w:szCs w:val="24"/>
              </w:rPr>
            </w:pPr>
            <w:r>
              <w:rPr>
                <w:rFonts w:ascii="Calibri" w:eastAsia="Times New Roman" w:hAnsi="Calibri" w:cs="Arial"/>
                <w:color w:val="000000"/>
                <w:kern w:val="24"/>
                <w:sz w:val="24"/>
                <w:szCs w:val="24"/>
              </w:rPr>
              <w:t>Feb</w:t>
            </w:r>
            <w:r w:rsidR="00A03EBE">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Mar</w:t>
            </w:r>
            <w:r w:rsidR="00A03EBE">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Apr</w:t>
            </w:r>
            <w:r w:rsidR="00A03EBE">
              <w:rPr>
                <w:rFonts w:ascii="Calibri" w:eastAsia="Times New Roman" w:hAnsi="Calibri" w:cs="Arial"/>
                <w:color w:val="000000"/>
                <w:kern w:val="24"/>
                <w:sz w:val="24"/>
                <w:szCs w:val="24"/>
              </w:rPr>
              <w:t xml:space="preserve">, </w:t>
            </w:r>
            <w:r>
              <w:rPr>
                <w:rFonts w:ascii="Calibri" w:eastAsia="Times New Roman" w:hAnsi="Calibri" w:cs="Arial"/>
                <w:color w:val="000000"/>
                <w:kern w:val="24"/>
                <w:sz w:val="24"/>
                <w:szCs w:val="24"/>
              </w:rPr>
              <w:t>May &amp; June</w:t>
            </w:r>
            <w:r w:rsidR="00A03EBE">
              <w:rPr>
                <w:rFonts w:ascii="Calibri" w:eastAsia="Times New Roman" w:hAnsi="Calibri" w:cs="Arial"/>
                <w:color w:val="000000"/>
                <w:kern w:val="24"/>
                <w:sz w:val="24"/>
                <w:szCs w:val="24"/>
              </w:rPr>
              <w:t xml:space="preserve"> 201</w:t>
            </w:r>
            <w:r>
              <w:rPr>
                <w:rFonts w:ascii="Calibri" w:eastAsia="Times New Roman" w:hAnsi="Calibri" w:cs="Arial"/>
                <w:color w:val="000000"/>
                <w:kern w:val="24"/>
                <w:sz w:val="24"/>
                <w:szCs w:val="24"/>
              </w:rPr>
              <w:t>6</w:t>
            </w:r>
          </w:p>
        </w:tc>
        <w:tc>
          <w:tcPr>
            <w:tcW w:w="2160" w:type="dxa"/>
            <w:hideMark/>
          </w:tcPr>
          <w:p w:rsidR="00A03EBE" w:rsidRPr="007B7F3F" w:rsidRDefault="00A03EBE" w:rsidP="007B7F3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Calibri" w:eastAsia="Times New Roman" w:hAnsi="Calibri" w:cs="Arial"/>
                <w:color w:val="000000"/>
                <w:kern w:val="24"/>
                <w:sz w:val="24"/>
                <w:szCs w:val="24"/>
              </w:rPr>
              <w:t>ILPs</w:t>
            </w:r>
            <w:r w:rsidRPr="007B7F3F">
              <w:rPr>
                <w:rFonts w:ascii="Calibri" w:eastAsia="Times New Roman" w:hAnsi="Calibri" w:cs="Arial"/>
                <w:color w:val="000000"/>
                <w:kern w:val="24"/>
                <w:sz w:val="24"/>
                <w:szCs w:val="24"/>
              </w:rPr>
              <w:t xml:space="preserve"> </w:t>
            </w:r>
          </w:p>
        </w:tc>
        <w:tc>
          <w:tcPr>
            <w:tcW w:w="4864" w:type="dxa"/>
            <w:hideMark/>
          </w:tcPr>
          <w:p w:rsidR="00A03EBE" w:rsidRPr="007B7F3F" w:rsidRDefault="00A03EBE" w:rsidP="00024F0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Report Cards of DDACTS #</w:t>
            </w:r>
            <w:r w:rsidR="00024F0F">
              <w:rPr>
                <w:rFonts w:ascii="Calibri" w:eastAsia="Times New Roman" w:hAnsi="Calibri" w:cs="Arial"/>
                <w:color w:val="000000"/>
                <w:kern w:val="24"/>
                <w:sz w:val="24"/>
                <w:szCs w:val="24"/>
              </w:rPr>
              <w:t>4</w:t>
            </w:r>
            <w:r w:rsidRPr="007B7F3F">
              <w:rPr>
                <w:rFonts w:ascii="Calibri" w:eastAsia="Times New Roman" w:hAnsi="Calibri" w:cs="Arial"/>
                <w:color w:val="000000"/>
                <w:kern w:val="24"/>
                <w:sz w:val="24"/>
                <w:szCs w:val="24"/>
              </w:rPr>
              <w:t xml:space="preserve"> </w:t>
            </w:r>
          </w:p>
        </w:tc>
      </w:tr>
      <w:tr w:rsidR="00A03EBE" w:rsidRPr="007B7F3F" w:rsidTr="007245D3">
        <w:trPr>
          <w:trHeight w:val="421"/>
        </w:trPr>
        <w:tc>
          <w:tcPr>
            <w:cnfStyle w:val="001000000000" w:firstRow="0" w:lastRow="0" w:firstColumn="1" w:lastColumn="0" w:oddVBand="0" w:evenVBand="0" w:oddHBand="0" w:evenHBand="0" w:firstRowFirstColumn="0" w:firstRowLastColumn="0" w:lastRowFirstColumn="0" w:lastRowLastColumn="0"/>
            <w:tcW w:w="2336" w:type="dxa"/>
            <w:hideMark/>
          </w:tcPr>
          <w:p w:rsidR="00A03EBE" w:rsidRPr="007B7F3F" w:rsidRDefault="00024F0F" w:rsidP="00024F0F">
            <w:pPr>
              <w:rPr>
                <w:rFonts w:ascii="Arial" w:eastAsia="Times New Roman" w:hAnsi="Arial" w:cs="Arial"/>
                <w:sz w:val="24"/>
                <w:szCs w:val="24"/>
              </w:rPr>
            </w:pPr>
            <w:r>
              <w:rPr>
                <w:rFonts w:ascii="Calibri" w:eastAsia="Times New Roman" w:hAnsi="Calibri" w:cs="Arial"/>
                <w:color w:val="000000"/>
                <w:kern w:val="24"/>
                <w:sz w:val="24"/>
                <w:szCs w:val="24"/>
              </w:rPr>
              <w:t>July</w:t>
            </w:r>
            <w:r w:rsidR="00A03EBE" w:rsidRPr="007B7F3F">
              <w:rPr>
                <w:rFonts w:ascii="Calibri" w:eastAsia="Times New Roman" w:hAnsi="Calibri" w:cs="Arial"/>
                <w:color w:val="000000"/>
                <w:kern w:val="24"/>
                <w:sz w:val="24"/>
                <w:szCs w:val="24"/>
              </w:rPr>
              <w:t xml:space="preserve"> 201</w:t>
            </w:r>
            <w:r>
              <w:rPr>
                <w:rFonts w:ascii="Calibri" w:eastAsia="Times New Roman" w:hAnsi="Calibri" w:cs="Arial"/>
                <w:color w:val="000000"/>
                <w:kern w:val="24"/>
                <w:sz w:val="24"/>
                <w:szCs w:val="24"/>
              </w:rPr>
              <w:t>6</w:t>
            </w:r>
          </w:p>
        </w:tc>
        <w:tc>
          <w:tcPr>
            <w:tcW w:w="2160" w:type="dxa"/>
            <w:hideMark/>
          </w:tcPr>
          <w:p w:rsidR="00A03EBE" w:rsidRPr="007B7F3F" w:rsidRDefault="00A03EBE" w:rsidP="007B7F3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Calibri" w:eastAsia="Times New Roman" w:hAnsi="Calibri" w:cs="Arial"/>
                <w:color w:val="000000"/>
                <w:kern w:val="24"/>
                <w:sz w:val="24"/>
                <w:szCs w:val="24"/>
              </w:rPr>
              <w:t>ILP</w:t>
            </w:r>
          </w:p>
        </w:tc>
        <w:tc>
          <w:tcPr>
            <w:tcW w:w="4864" w:type="dxa"/>
            <w:hideMark/>
          </w:tcPr>
          <w:p w:rsidR="00A03EBE" w:rsidRPr="007B7F3F" w:rsidRDefault="00A03EBE" w:rsidP="00024F0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7B7F3F">
              <w:rPr>
                <w:rFonts w:ascii="Calibri" w:eastAsia="Times New Roman" w:hAnsi="Calibri" w:cs="Arial"/>
                <w:color w:val="000000"/>
                <w:kern w:val="24"/>
                <w:sz w:val="24"/>
                <w:szCs w:val="24"/>
              </w:rPr>
              <w:t>Final Report Card of DDACTS #</w:t>
            </w:r>
            <w:r w:rsidR="00024F0F">
              <w:rPr>
                <w:rFonts w:ascii="Calibri" w:eastAsia="Times New Roman" w:hAnsi="Calibri" w:cs="Arial"/>
                <w:color w:val="000000"/>
                <w:kern w:val="24"/>
                <w:sz w:val="24"/>
                <w:szCs w:val="24"/>
              </w:rPr>
              <w:t>4</w:t>
            </w:r>
          </w:p>
        </w:tc>
      </w:tr>
    </w:tbl>
    <w:p w:rsidR="00024F0F" w:rsidRDefault="00024F0F" w:rsidP="00C976EB">
      <w:pPr>
        <w:contextualSpacing/>
        <w:rPr>
          <w:rFonts w:cs="Tahoma"/>
          <w:sz w:val="24"/>
          <w:szCs w:val="24"/>
        </w:rPr>
      </w:pPr>
    </w:p>
    <w:p w:rsidR="00551561" w:rsidRDefault="00551561" w:rsidP="00C976EB">
      <w:pPr>
        <w:contextualSpacing/>
        <w:rPr>
          <w:rFonts w:cs="Tahoma"/>
          <w:b/>
          <w:sz w:val="24"/>
          <w:szCs w:val="24"/>
        </w:rPr>
      </w:pPr>
    </w:p>
    <w:p w:rsidR="00551561" w:rsidRDefault="00551561" w:rsidP="00C976EB">
      <w:pPr>
        <w:contextualSpacing/>
        <w:rPr>
          <w:rFonts w:cs="Tahoma"/>
          <w:b/>
          <w:sz w:val="24"/>
          <w:szCs w:val="24"/>
        </w:rPr>
      </w:pPr>
    </w:p>
    <w:p w:rsidR="00551561" w:rsidRDefault="00551561" w:rsidP="00C976EB">
      <w:pPr>
        <w:contextualSpacing/>
        <w:rPr>
          <w:rFonts w:cs="Tahoma"/>
          <w:b/>
          <w:sz w:val="24"/>
          <w:szCs w:val="24"/>
        </w:rPr>
      </w:pPr>
    </w:p>
    <w:p w:rsidR="007B7F3F" w:rsidRDefault="009F614E" w:rsidP="00C976EB">
      <w:pPr>
        <w:contextualSpacing/>
        <w:rPr>
          <w:rFonts w:cs="Tahoma"/>
          <w:b/>
          <w:sz w:val="24"/>
          <w:szCs w:val="24"/>
        </w:rPr>
      </w:pPr>
      <w:r w:rsidRPr="009F614E">
        <w:rPr>
          <w:rFonts w:cs="Tahoma"/>
          <w:b/>
          <w:sz w:val="24"/>
          <w:szCs w:val="24"/>
        </w:rPr>
        <w:t>Reporting</w:t>
      </w:r>
    </w:p>
    <w:p w:rsidR="009F614E" w:rsidRDefault="009F614E" w:rsidP="00C976EB">
      <w:pPr>
        <w:contextualSpacing/>
        <w:rPr>
          <w:rFonts w:cs="Tahoma"/>
          <w:sz w:val="24"/>
          <w:szCs w:val="24"/>
        </w:rPr>
      </w:pPr>
      <w:r>
        <w:rPr>
          <w:rFonts w:cs="Tahoma"/>
          <w:sz w:val="24"/>
          <w:szCs w:val="24"/>
        </w:rPr>
        <w:t>Although communications will be ongoing throughout the program, official program reporting w</w:t>
      </w:r>
      <w:r w:rsidR="00280E1F">
        <w:rPr>
          <w:rFonts w:cs="Tahoma"/>
          <w:sz w:val="24"/>
          <w:szCs w:val="24"/>
        </w:rPr>
        <w:t>ill occur in the ILP</w:t>
      </w:r>
      <w:r>
        <w:rPr>
          <w:rFonts w:cs="Tahoma"/>
          <w:sz w:val="24"/>
          <w:szCs w:val="24"/>
        </w:rPr>
        <w:t xml:space="preserve"> </w:t>
      </w:r>
      <w:r w:rsidR="00F234B5">
        <w:rPr>
          <w:rFonts w:cs="Tahoma"/>
          <w:sz w:val="24"/>
          <w:szCs w:val="24"/>
        </w:rPr>
        <w:t>m</w:t>
      </w:r>
      <w:r>
        <w:rPr>
          <w:rFonts w:cs="Tahoma"/>
          <w:sz w:val="24"/>
          <w:szCs w:val="24"/>
        </w:rPr>
        <w:t>onthly meetings.  The DDACTS report card and final report cards will be briefed by the Special Operations Commander or designee, and will address the following:</w:t>
      </w:r>
    </w:p>
    <w:p w:rsidR="009F614E" w:rsidRDefault="009F614E" w:rsidP="009F614E">
      <w:pPr>
        <w:pStyle w:val="ListParagraph"/>
        <w:numPr>
          <w:ilvl w:val="0"/>
          <w:numId w:val="1"/>
        </w:numPr>
        <w:rPr>
          <w:rFonts w:cs="Tahoma"/>
          <w:sz w:val="24"/>
          <w:szCs w:val="24"/>
        </w:rPr>
      </w:pPr>
      <w:r>
        <w:rPr>
          <w:rFonts w:cs="Tahoma"/>
          <w:sz w:val="24"/>
          <w:szCs w:val="24"/>
        </w:rPr>
        <w:t>DDACTS zone</w:t>
      </w:r>
      <w:r w:rsidR="009322B6">
        <w:rPr>
          <w:rFonts w:cs="Tahoma"/>
          <w:sz w:val="24"/>
          <w:szCs w:val="24"/>
        </w:rPr>
        <w:t xml:space="preserve"> (work area)</w:t>
      </w:r>
      <w:r>
        <w:rPr>
          <w:rFonts w:cs="Tahoma"/>
          <w:sz w:val="24"/>
          <w:szCs w:val="24"/>
        </w:rPr>
        <w:t>.</w:t>
      </w:r>
    </w:p>
    <w:p w:rsidR="009F614E" w:rsidRDefault="009F614E" w:rsidP="009F614E">
      <w:pPr>
        <w:pStyle w:val="ListParagraph"/>
        <w:numPr>
          <w:ilvl w:val="0"/>
          <w:numId w:val="1"/>
        </w:numPr>
        <w:rPr>
          <w:rFonts w:cs="Tahoma"/>
          <w:sz w:val="24"/>
          <w:szCs w:val="24"/>
        </w:rPr>
      </w:pPr>
      <w:r>
        <w:rPr>
          <w:rFonts w:cs="Tahoma"/>
          <w:sz w:val="24"/>
          <w:szCs w:val="24"/>
        </w:rPr>
        <w:t>Objectives</w:t>
      </w:r>
    </w:p>
    <w:p w:rsidR="009F614E" w:rsidRDefault="009F614E" w:rsidP="009F614E">
      <w:pPr>
        <w:pStyle w:val="ListParagraph"/>
        <w:numPr>
          <w:ilvl w:val="0"/>
          <w:numId w:val="1"/>
        </w:numPr>
        <w:rPr>
          <w:rFonts w:cs="Tahoma"/>
          <w:sz w:val="24"/>
          <w:szCs w:val="24"/>
        </w:rPr>
      </w:pPr>
      <w:r>
        <w:rPr>
          <w:rFonts w:cs="Tahoma"/>
          <w:sz w:val="24"/>
          <w:szCs w:val="24"/>
        </w:rPr>
        <w:t>Tactical Plan</w:t>
      </w:r>
    </w:p>
    <w:p w:rsidR="009F614E" w:rsidRDefault="00EF1AFC" w:rsidP="009F614E">
      <w:pPr>
        <w:pStyle w:val="ListParagraph"/>
        <w:numPr>
          <w:ilvl w:val="0"/>
          <w:numId w:val="1"/>
        </w:numPr>
        <w:rPr>
          <w:rFonts w:cs="Tahoma"/>
          <w:sz w:val="24"/>
          <w:szCs w:val="24"/>
        </w:rPr>
      </w:pPr>
      <w:r>
        <w:rPr>
          <w:rFonts w:cs="Tahoma"/>
          <w:sz w:val="24"/>
          <w:szCs w:val="24"/>
        </w:rPr>
        <w:t>Outputs</w:t>
      </w:r>
      <w:r w:rsidR="009F614E">
        <w:rPr>
          <w:rFonts w:cs="Tahoma"/>
          <w:sz w:val="24"/>
          <w:szCs w:val="24"/>
        </w:rPr>
        <w:t>/</w:t>
      </w:r>
      <w:r>
        <w:rPr>
          <w:rFonts w:cs="Tahoma"/>
          <w:sz w:val="24"/>
          <w:szCs w:val="24"/>
        </w:rPr>
        <w:t>Outcomes:</w:t>
      </w:r>
    </w:p>
    <w:p w:rsidR="00EF1AFC" w:rsidRDefault="00EF1AFC" w:rsidP="009F614E">
      <w:pPr>
        <w:pStyle w:val="ListParagraph"/>
        <w:numPr>
          <w:ilvl w:val="1"/>
          <w:numId w:val="1"/>
        </w:numPr>
        <w:rPr>
          <w:rFonts w:cs="Tahoma"/>
          <w:sz w:val="24"/>
          <w:szCs w:val="24"/>
        </w:rPr>
      </w:pPr>
      <w:r>
        <w:rPr>
          <w:rFonts w:cs="Tahoma"/>
          <w:sz w:val="24"/>
          <w:szCs w:val="24"/>
        </w:rPr>
        <w:t>Results/performance to goals</w:t>
      </w:r>
    </w:p>
    <w:p w:rsidR="009F614E" w:rsidRDefault="009F614E" w:rsidP="009F614E">
      <w:pPr>
        <w:pStyle w:val="ListParagraph"/>
        <w:numPr>
          <w:ilvl w:val="1"/>
          <w:numId w:val="1"/>
        </w:numPr>
        <w:rPr>
          <w:rFonts w:cs="Tahoma"/>
          <w:sz w:val="24"/>
          <w:szCs w:val="24"/>
        </w:rPr>
      </w:pPr>
      <w:r>
        <w:rPr>
          <w:rFonts w:cs="Tahoma"/>
          <w:sz w:val="24"/>
          <w:szCs w:val="24"/>
        </w:rPr>
        <w:t>Subject stops</w:t>
      </w:r>
    </w:p>
    <w:p w:rsidR="009F614E" w:rsidRDefault="009F614E" w:rsidP="009F614E">
      <w:pPr>
        <w:pStyle w:val="ListParagraph"/>
        <w:numPr>
          <w:ilvl w:val="1"/>
          <w:numId w:val="1"/>
        </w:numPr>
        <w:rPr>
          <w:rFonts w:cs="Tahoma"/>
          <w:sz w:val="24"/>
          <w:szCs w:val="24"/>
        </w:rPr>
      </w:pPr>
      <w:r>
        <w:rPr>
          <w:rFonts w:cs="Tahoma"/>
          <w:sz w:val="24"/>
          <w:szCs w:val="24"/>
        </w:rPr>
        <w:t>Traffic stops</w:t>
      </w:r>
    </w:p>
    <w:p w:rsidR="009F614E" w:rsidRDefault="009F614E" w:rsidP="009F614E">
      <w:pPr>
        <w:pStyle w:val="ListParagraph"/>
        <w:numPr>
          <w:ilvl w:val="1"/>
          <w:numId w:val="1"/>
        </w:numPr>
        <w:rPr>
          <w:rFonts w:cs="Tahoma"/>
          <w:sz w:val="24"/>
          <w:szCs w:val="24"/>
        </w:rPr>
      </w:pPr>
      <w:r>
        <w:rPr>
          <w:rFonts w:cs="Tahoma"/>
          <w:sz w:val="24"/>
          <w:szCs w:val="24"/>
        </w:rPr>
        <w:t>Dispatched Calls for Service</w:t>
      </w:r>
    </w:p>
    <w:p w:rsidR="009F614E" w:rsidRDefault="009F614E" w:rsidP="009F614E">
      <w:pPr>
        <w:pStyle w:val="ListParagraph"/>
        <w:numPr>
          <w:ilvl w:val="1"/>
          <w:numId w:val="1"/>
        </w:numPr>
        <w:rPr>
          <w:rFonts w:cs="Tahoma"/>
          <w:sz w:val="24"/>
          <w:szCs w:val="24"/>
        </w:rPr>
      </w:pPr>
      <w:r>
        <w:rPr>
          <w:rFonts w:cs="Tahoma"/>
          <w:sz w:val="24"/>
          <w:szCs w:val="24"/>
        </w:rPr>
        <w:t>Officer Initiated Calls for Service</w:t>
      </w:r>
    </w:p>
    <w:p w:rsidR="009F614E" w:rsidRDefault="009F614E" w:rsidP="009F614E">
      <w:pPr>
        <w:pStyle w:val="ListParagraph"/>
        <w:numPr>
          <w:ilvl w:val="1"/>
          <w:numId w:val="1"/>
        </w:numPr>
        <w:rPr>
          <w:rFonts w:cs="Tahoma"/>
          <w:sz w:val="24"/>
          <w:szCs w:val="24"/>
        </w:rPr>
      </w:pPr>
      <w:r>
        <w:rPr>
          <w:rFonts w:cs="Tahoma"/>
          <w:sz w:val="24"/>
          <w:szCs w:val="24"/>
        </w:rPr>
        <w:t xml:space="preserve">Pin map combining focus crimes and collisions in </w:t>
      </w:r>
      <w:r w:rsidR="00A36130">
        <w:rPr>
          <w:rFonts w:cs="Tahoma"/>
          <w:sz w:val="24"/>
          <w:szCs w:val="24"/>
        </w:rPr>
        <w:t>DDACTS zone</w:t>
      </w:r>
      <w:r>
        <w:rPr>
          <w:rFonts w:cs="Tahoma"/>
          <w:sz w:val="24"/>
          <w:szCs w:val="24"/>
        </w:rPr>
        <w:t xml:space="preserve">, month to month and final report card timeline (6 month period).  </w:t>
      </w:r>
    </w:p>
    <w:p w:rsidR="00AB7CB7" w:rsidRPr="00EF1AFC" w:rsidRDefault="009F614E" w:rsidP="00EF1AFC">
      <w:pPr>
        <w:pStyle w:val="ListParagraph"/>
        <w:numPr>
          <w:ilvl w:val="0"/>
          <w:numId w:val="2"/>
        </w:numPr>
        <w:rPr>
          <w:rFonts w:cs="Tahoma"/>
          <w:sz w:val="24"/>
          <w:szCs w:val="24"/>
        </w:rPr>
      </w:pPr>
      <w:r>
        <w:rPr>
          <w:rFonts w:cs="Tahoma"/>
          <w:sz w:val="24"/>
          <w:szCs w:val="24"/>
        </w:rPr>
        <w:t xml:space="preserve">Overall successes and/or issues learned through the work period (monthly report card or final report card timeline).  </w:t>
      </w:r>
    </w:p>
    <w:p w:rsidR="00024F0F" w:rsidRDefault="00024F0F" w:rsidP="008C14A3">
      <w:pPr>
        <w:contextualSpacing/>
        <w:rPr>
          <w:rFonts w:cs="Tahoma"/>
          <w:sz w:val="24"/>
          <w:szCs w:val="24"/>
        </w:rPr>
      </w:pPr>
    </w:p>
    <w:p w:rsidR="00AC6DF8" w:rsidRPr="009322B6" w:rsidRDefault="00165B8C" w:rsidP="00B279EF">
      <w:pPr>
        <w:contextualSpacing/>
        <w:rPr>
          <w:rFonts w:cs="Tahoma"/>
          <w:sz w:val="24"/>
          <w:szCs w:val="24"/>
        </w:rPr>
      </w:pPr>
      <w:r>
        <w:rPr>
          <w:rFonts w:cs="Tahoma"/>
          <w:b/>
          <w:sz w:val="24"/>
          <w:szCs w:val="24"/>
        </w:rPr>
        <w:t>Gilbert P</w:t>
      </w:r>
      <w:r w:rsidR="00873775">
        <w:rPr>
          <w:rFonts w:cs="Tahoma"/>
          <w:b/>
          <w:sz w:val="24"/>
          <w:szCs w:val="24"/>
        </w:rPr>
        <w:t>olice Department</w:t>
      </w:r>
      <w:r>
        <w:rPr>
          <w:rFonts w:cs="Tahoma"/>
          <w:b/>
          <w:sz w:val="24"/>
          <w:szCs w:val="24"/>
        </w:rPr>
        <w:t xml:space="preserve"> </w:t>
      </w:r>
      <w:r w:rsidR="001B47A5" w:rsidRPr="0093770E">
        <w:rPr>
          <w:rFonts w:cs="Tahoma"/>
          <w:b/>
          <w:sz w:val="24"/>
          <w:szCs w:val="24"/>
        </w:rPr>
        <w:t>DDACTS Program Communication and Work Flow</w:t>
      </w:r>
    </w:p>
    <w:p w:rsidR="0093770E" w:rsidRPr="00B876CA" w:rsidRDefault="0093770E" w:rsidP="008C14A3">
      <w:pPr>
        <w:rPr>
          <w:rFonts w:cs="Tahoma"/>
          <w:b/>
          <w:sz w:val="24"/>
          <w:szCs w:val="24"/>
          <w:u w:val="single"/>
        </w:rPr>
      </w:pPr>
    </w:p>
    <w:p w:rsidR="00024F0F" w:rsidRPr="00551561" w:rsidRDefault="00B876CA" w:rsidP="00551561">
      <w:pPr>
        <w:ind w:left="1440"/>
        <w:rPr>
          <w:rFonts w:cs="Tahoma"/>
          <w:sz w:val="24"/>
          <w:szCs w:val="24"/>
        </w:rPr>
      </w:pPr>
      <w:r>
        <w:rPr>
          <w:noProof/>
        </w:rPr>
        <w:drawing>
          <wp:inline distT="0" distB="0" distL="0" distR="0" wp14:anchorId="5A28CD5E" wp14:editId="6A5B6923">
            <wp:extent cx="4008120" cy="3006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nBu\Local Settings\Temporary Internet Files\Content.Word\DDACTS FLOW CHART.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08120" cy="3006090"/>
                    </a:xfrm>
                    <a:prstGeom prst="rect">
                      <a:avLst/>
                    </a:prstGeom>
                    <a:noFill/>
                    <a:ln w="9525">
                      <a:noFill/>
                      <a:miter lim="800000"/>
                      <a:headEnd/>
                      <a:tailEnd/>
                    </a:ln>
                  </pic:spPr>
                </pic:pic>
              </a:graphicData>
            </a:graphic>
          </wp:inline>
        </w:drawing>
      </w:r>
    </w:p>
    <w:p w:rsidR="002267CB" w:rsidRDefault="00160212" w:rsidP="001B47A5">
      <w:pPr>
        <w:rPr>
          <w:rFonts w:cs="Tahoma"/>
          <w:b/>
          <w:sz w:val="24"/>
          <w:szCs w:val="24"/>
        </w:rPr>
      </w:pPr>
      <w:r>
        <w:rPr>
          <w:rFonts w:cs="Tahoma"/>
          <w:b/>
          <w:sz w:val="24"/>
          <w:szCs w:val="24"/>
        </w:rPr>
        <w:lastRenderedPageBreak/>
        <w:t>Additional DDACTS Reference Material</w:t>
      </w:r>
    </w:p>
    <w:p w:rsidR="002267CB" w:rsidRDefault="00AB4D74" w:rsidP="001B47A5">
      <w:pPr>
        <w:rPr>
          <w:rFonts w:cs="Tahoma"/>
          <w:b/>
          <w:sz w:val="24"/>
          <w:szCs w:val="24"/>
        </w:rPr>
      </w:pPr>
      <w:hyperlink r:id="rId12" w:history="1">
        <w:r w:rsidR="002267CB" w:rsidRPr="0030171E">
          <w:rPr>
            <w:rStyle w:val="Hyperlink"/>
            <w:rFonts w:cs="Tahoma"/>
            <w:b/>
            <w:sz w:val="24"/>
            <w:szCs w:val="24"/>
          </w:rPr>
          <w:t>http://www.nhtsa.gov/ddacts</w:t>
        </w:r>
      </w:hyperlink>
    </w:p>
    <w:p w:rsidR="002267CB" w:rsidRDefault="00AB4D74" w:rsidP="001B47A5">
      <w:pPr>
        <w:rPr>
          <w:rFonts w:cs="Tahoma"/>
          <w:sz w:val="24"/>
          <w:szCs w:val="24"/>
        </w:rPr>
      </w:pPr>
      <w:hyperlink r:id="rId13" w:history="1">
        <w:r w:rsidR="002267CB" w:rsidRPr="0030171E">
          <w:rPr>
            <w:rStyle w:val="Hyperlink"/>
            <w:rFonts w:cs="Tahoma"/>
            <w:sz w:val="24"/>
            <w:szCs w:val="24"/>
          </w:rPr>
          <w:t>http://www.nhtsa.gov/Driving+Safety/Enforcement+&amp;+Justice+Services/Data-Driven+Approaches+to+Crime+and+Traffic+Safety+(DDACTS)</w:t>
        </w:r>
      </w:hyperlink>
    </w:p>
    <w:p w:rsidR="002267CB" w:rsidRDefault="00AB4D74" w:rsidP="001B47A5">
      <w:pPr>
        <w:rPr>
          <w:rFonts w:cs="Tahoma"/>
          <w:sz w:val="24"/>
          <w:szCs w:val="24"/>
        </w:rPr>
      </w:pPr>
      <w:hyperlink r:id="rId14" w:history="1">
        <w:r w:rsidR="002267CB" w:rsidRPr="0030171E">
          <w:rPr>
            <w:rStyle w:val="Hyperlink"/>
            <w:rFonts w:cs="Tahoma"/>
            <w:sz w:val="24"/>
            <w:szCs w:val="24"/>
          </w:rPr>
          <w:t>http://www.smartpolicinginitiative.com/sites/all/files/Webinars/DDACTS_OpGuidelinesMarch14.pdf</w:t>
        </w:r>
      </w:hyperlink>
    </w:p>
    <w:p w:rsidR="002267CB" w:rsidRDefault="00AB4D74" w:rsidP="001B47A5">
      <w:pPr>
        <w:rPr>
          <w:rFonts w:cs="Tahoma"/>
          <w:sz w:val="24"/>
          <w:szCs w:val="24"/>
        </w:rPr>
      </w:pPr>
      <w:hyperlink r:id="rId15" w:history="1">
        <w:r w:rsidR="002267CB" w:rsidRPr="0030171E">
          <w:rPr>
            <w:rStyle w:val="Hyperlink"/>
            <w:rFonts w:cs="Tahoma"/>
            <w:sz w:val="24"/>
            <w:szCs w:val="24"/>
          </w:rPr>
          <w:t>http://www.policechiefmagazine.org/magazine/index.cfm?fuseaction=display&amp;article_id=1839&amp;issue_id=72009/</w:t>
        </w:r>
      </w:hyperlink>
    </w:p>
    <w:p w:rsidR="002267CB" w:rsidRDefault="00AB4D74" w:rsidP="001B47A5">
      <w:pPr>
        <w:rPr>
          <w:rFonts w:cs="Tahoma"/>
          <w:sz w:val="24"/>
          <w:szCs w:val="24"/>
        </w:rPr>
      </w:pPr>
      <w:hyperlink r:id="rId16" w:history="1">
        <w:r w:rsidR="002267CB" w:rsidRPr="0030171E">
          <w:rPr>
            <w:rStyle w:val="Hyperlink"/>
            <w:rFonts w:cs="Tahoma"/>
            <w:sz w:val="24"/>
            <w:szCs w:val="24"/>
          </w:rPr>
          <w:t>http://www.nij.gov/topics/law-enforcement/operations/traffic/Pages/ddacts.aspx</w:t>
        </w:r>
      </w:hyperlink>
    </w:p>
    <w:p w:rsidR="002267CB" w:rsidRDefault="00AB4D74" w:rsidP="001B47A5">
      <w:pPr>
        <w:rPr>
          <w:rFonts w:cs="Tahoma"/>
          <w:sz w:val="24"/>
          <w:szCs w:val="24"/>
        </w:rPr>
      </w:pPr>
      <w:hyperlink r:id="rId17" w:history="1">
        <w:r w:rsidR="002267CB" w:rsidRPr="0030171E">
          <w:rPr>
            <w:rStyle w:val="Hyperlink"/>
            <w:rFonts w:cs="Tahoma"/>
            <w:sz w:val="24"/>
            <w:szCs w:val="24"/>
          </w:rPr>
          <w:t>https://www.iadlest.org/Projects/DDACTS.aspx</w:t>
        </w:r>
      </w:hyperlink>
    </w:p>
    <w:p w:rsidR="002267CB" w:rsidRDefault="002267CB" w:rsidP="001B47A5">
      <w:pPr>
        <w:rPr>
          <w:rFonts w:cs="Tahoma"/>
          <w:sz w:val="24"/>
          <w:szCs w:val="24"/>
        </w:rPr>
      </w:pPr>
    </w:p>
    <w:p w:rsidR="002267CB" w:rsidRDefault="002267CB" w:rsidP="001B47A5">
      <w:pPr>
        <w:rPr>
          <w:rFonts w:cs="Tahoma"/>
          <w:sz w:val="24"/>
          <w:szCs w:val="24"/>
        </w:rPr>
      </w:pPr>
    </w:p>
    <w:p w:rsidR="002267CB" w:rsidRDefault="002267CB" w:rsidP="001B47A5">
      <w:pPr>
        <w:rPr>
          <w:rFonts w:cs="Tahoma"/>
          <w:sz w:val="24"/>
          <w:szCs w:val="24"/>
        </w:rPr>
      </w:pPr>
    </w:p>
    <w:p w:rsidR="002267CB" w:rsidRDefault="002267CB" w:rsidP="001B47A5">
      <w:pPr>
        <w:rPr>
          <w:rFonts w:cs="Tahoma"/>
          <w:sz w:val="24"/>
          <w:szCs w:val="24"/>
        </w:rPr>
      </w:pPr>
    </w:p>
    <w:p w:rsidR="002267CB" w:rsidRPr="000540EB" w:rsidRDefault="002267CB" w:rsidP="001B47A5">
      <w:pPr>
        <w:rPr>
          <w:rFonts w:cs="Tahoma"/>
          <w:sz w:val="24"/>
          <w:szCs w:val="24"/>
        </w:rPr>
      </w:pPr>
    </w:p>
    <w:sectPr w:rsidR="002267CB" w:rsidRPr="000540EB" w:rsidSect="0076750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74" w:rsidRDefault="00AB4D74" w:rsidP="007B7F3F">
      <w:pPr>
        <w:spacing w:after="0" w:line="240" w:lineRule="auto"/>
      </w:pPr>
      <w:r>
        <w:separator/>
      </w:r>
    </w:p>
  </w:endnote>
  <w:endnote w:type="continuationSeparator" w:id="0">
    <w:p w:rsidR="00AB4D74" w:rsidRDefault="00AB4D74" w:rsidP="007B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DA" w:rsidRDefault="004F68DA">
    <w:pPr>
      <w:pStyle w:val="Footer"/>
      <w:pBdr>
        <w:top w:val="thinThickSmallGap" w:sz="24" w:space="1" w:color="622423" w:themeColor="accent2" w:themeShade="7F"/>
      </w:pBdr>
      <w:rPr>
        <w:rFonts w:asciiTheme="majorHAnsi" w:hAnsiTheme="majorHAnsi"/>
      </w:rPr>
    </w:pPr>
    <w:r>
      <w:rPr>
        <w:rFonts w:asciiTheme="majorHAnsi" w:hAnsiTheme="majorHAnsi"/>
      </w:rPr>
      <w:t>Gilbert PD DDACTS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01CDF" w:rsidRPr="00A01CDF">
      <w:rPr>
        <w:rFonts w:asciiTheme="majorHAnsi" w:hAnsiTheme="majorHAnsi"/>
        <w:noProof/>
      </w:rPr>
      <w:t>1</w:t>
    </w:r>
    <w:r>
      <w:rPr>
        <w:rFonts w:asciiTheme="majorHAnsi" w:hAnsiTheme="majorHAnsi"/>
        <w:noProof/>
      </w:rPr>
      <w:fldChar w:fldCharType="end"/>
    </w:r>
  </w:p>
  <w:p w:rsidR="004F68DA" w:rsidRDefault="004F6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74" w:rsidRDefault="00AB4D74" w:rsidP="007B7F3F">
      <w:pPr>
        <w:spacing w:after="0" w:line="240" w:lineRule="auto"/>
      </w:pPr>
      <w:r>
        <w:separator/>
      </w:r>
    </w:p>
  </w:footnote>
  <w:footnote w:type="continuationSeparator" w:id="0">
    <w:p w:rsidR="00AB4D74" w:rsidRDefault="00AB4D74" w:rsidP="007B7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A39"/>
    <w:multiLevelType w:val="hybridMultilevel"/>
    <w:tmpl w:val="4BFA2A52"/>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
    <w:nsid w:val="0FC81167"/>
    <w:multiLevelType w:val="hybridMultilevel"/>
    <w:tmpl w:val="225A4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A51FD"/>
    <w:multiLevelType w:val="hybridMultilevel"/>
    <w:tmpl w:val="3590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B4C06"/>
    <w:multiLevelType w:val="hybridMultilevel"/>
    <w:tmpl w:val="79B6A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26A23"/>
    <w:multiLevelType w:val="hybridMultilevel"/>
    <w:tmpl w:val="1716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24453"/>
    <w:multiLevelType w:val="hybridMultilevel"/>
    <w:tmpl w:val="E0581CF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44B1717D"/>
    <w:multiLevelType w:val="hybridMultilevel"/>
    <w:tmpl w:val="4E7A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C01F77"/>
    <w:multiLevelType w:val="hybridMultilevel"/>
    <w:tmpl w:val="A20C36F8"/>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
    <w:nsid w:val="5FF327D2"/>
    <w:multiLevelType w:val="hybridMultilevel"/>
    <w:tmpl w:val="A51CA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8"/>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A3"/>
    <w:rsid w:val="0000090C"/>
    <w:rsid w:val="00000947"/>
    <w:rsid w:val="00001B0D"/>
    <w:rsid w:val="00003899"/>
    <w:rsid w:val="00004105"/>
    <w:rsid w:val="00005C5B"/>
    <w:rsid w:val="00007A17"/>
    <w:rsid w:val="00010C78"/>
    <w:rsid w:val="0001120D"/>
    <w:rsid w:val="00011A6A"/>
    <w:rsid w:val="000127DD"/>
    <w:rsid w:val="00014E97"/>
    <w:rsid w:val="000160D6"/>
    <w:rsid w:val="00020F0A"/>
    <w:rsid w:val="000228F8"/>
    <w:rsid w:val="00022BF6"/>
    <w:rsid w:val="00024F0F"/>
    <w:rsid w:val="0002572D"/>
    <w:rsid w:val="000270C6"/>
    <w:rsid w:val="000301F7"/>
    <w:rsid w:val="00031CD3"/>
    <w:rsid w:val="00032606"/>
    <w:rsid w:val="00032AAD"/>
    <w:rsid w:val="00032FF6"/>
    <w:rsid w:val="00034C68"/>
    <w:rsid w:val="000370A9"/>
    <w:rsid w:val="000400CC"/>
    <w:rsid w:val="0004397F"/>
    <w:rsid w:val="00044E88"/>
    <w:rsid w:val="00045539"/>
    <w:rsid w:val="00045759"/>
    <w:rsid w:val="00045845"/>
    <w:rsid w:val="00047BB6"/>
    <w:rsid w:val="00047BC8"/>
    <w:rsid w:val="000512C5"/>
    <w:rsid w:val="00052BD1"/>
    <w:rsid w:val="000540EB"/>
    <w:rsid w:val="000548D9"/>
    <w:rsid w:val="00055787"/>
    <w:rsid w:val="00056F74"/>
    <w:rsid w:val="00060640"/>
    <w:rsid w:val="0006084D"/>
    <w:rsid w:val="00061D9B"/>
    <w:rsid w:val="00064C2B"/>
    <w:rsid w:val="000650B0"/>
    <w:rsid w:val="000675F0"/>
    <w:rsid w:val="00067D1C"/>
    <w:rsid w:val="00071B85"/>
    <w:rsid w:val="000721C2"/>
    <w:rsid w:val="00072665"/>
    <w:rsid w:val="000802BA"/>
    <w:rsid w:val="00082AA3"/>
    <w:rsid w:val="00082E52"/>
    <w:rsid w:val="00083BF5"/>
    <w:rsid w:val="00084316"/>
    <w:rsid w:val="00085C7F"/>
    <w:rsid w:val="00085CBC"/>
    <w:rsid w:val="00086B14"/>
    <w:rsid w:val="00087DE1"/>
    <w:rsid w:val="00092E50"/>
    <w:rsid w:val="00093FBE"/>
    <w:rsid w:val="000942F4"/>
    <w:rsid w:val="000A2434"/>
    <w:rsid w:val="000A7337"/>
    <w:rsid w:val="000B08D1"/>
    <w:rsid w:val="000B11F7"/>
    <w:rsid w:val="000B1CBF"/>
    <w:rsid w:val="000B34A4"/>
    <w:rsid w:val="000B4F9C"/>
    <w:rsid w:val="000B543F"/>
    <w:rsid w:val="000C1889"/>
    <w:rsid w:val="000C1D87"/>
    <w:rsid w:val="000C2725"/>
    <w:rsid w:val="000C408B"/>
    <w:rsid w:val="000C5FDC"/>
    <w:rsid w:val="000C611D"/>
    <w:rsid w:val="000C659B"/>
    <w:rsid w:val="000C7012"/>
    <w:rsid w:val="000D09B0"/>
    <w:rsid w:val="000D3E95"/>
    <w:rsid w:val="000D5139"/>
    <w:rsid w:val="000D5310"/>
    <w:rsid w:val="000E1BC2"/>
    <w:rsid w:val="000E5FC0"/>
    <w:rsid w:val="000E6E33"/>
    <w:rsid w:val="000F3B43"/>
    <w:rsid w:val="000F4913"/>
    <w:rsid w:val="000F70E7"/>
    <w:rsid w:val="00100A67"/>
    <w:rsid w:val="0010520C"/>
    <w:rsid w:val="00105EA1"/>
    <w:rsid w:val="0011155B"/>
    <w:rsid w:val="00112386"/>
    <w:rsid w:val="00112AAD"/>
    <w:rsid w:val="00113AE2"/>
    <w:rsid w:val="00114817"/>
    <w:rsid w:val="0012016C"/>
    <w:rsid w:val="001210C5"/>
    <w:rsid w:val="0012141F"/>
    <w:rsid w:val="00121C12"/>
    <w:rsid w:val="00122599"/>
    <w:rsid w:val="00125A5B"/>
    <w:rsid w:val="00130019"/>
    <w:rsid w:val="00130288"/>
    <w:rsid w:val="00131A1A"/>
    <w:rsid w:val="00131A88"/>
    <w:rsid w:val="001331B0"/>
    <w:rsid w:val="001343B6"/>
    <w:rsid w:val="00137E28"/>
    <w:rsid w:val="00137F83"/>
    <w:rsid w:val="00142309"/>
    <w:rsid w:val="001509AD"/>
    <w:rsid w:val="00151401"/>
    <w:rsid w:val="00152693"/>
    <w:rsid w:val="001535F4"/>
    <w:rsid w:val="001542E9"/>
    <w:rsid w:val="00156710"/>
    <w:rsid w:val="00157747"/>
    <w:rsid w:val="00160212"/>
    <w:rsid w:val="00161399"/>
    <w:rsid w:val="001614F2"/>
    <w:rsid w:val="001633E4"/>
    <w:rsid w:val="00165B8C"/>
    <w:rsid w:val="00173F8C"/>
    <w:rsid w:val="00194CB9"/>
    <w:rsid w:val="00197F58"/>
    <w:rsid w:val="001A3279"/>
    <w:rsid w:val="001A6B1E"/>
    <w:rsid w:val="001B0BF5"/>
    <w:rsid w:val="001B2535"/>
    <w:rsid w:val="001B4328"/>
    <w:rsid w:val="001B47A5"/>
    <w:rsid w:val="001B5616"/>
    <w:rsid w:val="001C09CA"/>
    <w:rsid w:val="001C29DA"/>
    <w:rsid w:val="001C3375"/>
    <w:rsid w:val="001C7B7A"/>
    <w:rsid w:val="001D234F"/>
    <w:rsid w:val="001D3836"/>
    <w:rsid w:val="001D4E85"/>
    <w:rsid w:val="001D5FEF"/>
    <w:rsid w:val="001E0EC2"/>
    <w:rsid w:val="001E23E6"/>
    <w:rsid w:val="001E541E"/>
    <w:rsid w:val="001E7727"/>
    <w:rsid w:val="001F0DD3"/>
    <w:rsid w:val="001F206E"/>
    <w:rsid w:val="001F49A3"/>
    <w:rsid w:val="001F69A7"/>
    <w:rsid w:val="001F6ED8"/>
    <w:rsid w:val="001F79F2"/>
    <w:rsid w:val="00202706"/>
    <w:rsid w:val="0020637F"/>
    <w:rsid w:val="00207EB4"/>
    <w:rsid w:val="00210005"/>
    <w:rsid w:val="00210157"/>
    <w:rsid w:val="00210235"/>
    <w:rsid w:val="00213030"/>
    <w:rsid w:val="00215D4F"/>
    <w:rsid w:val="00217A19"/>
    <w:rsid w:val="00217AE4"/>
    <w:rsid w:val="00217DFC"/>
    <w:rsid w:val="00220761"/>
    <w:rsid w:val="002207FF"/>
    <w:rsid w:val="002208AC"/>
    <w:rsid w:val="00224A9C"/>
    <w:rsid w:val="0022618F"/>
    <w:rsid w:val="002267CB"/>
    <w:rsid w:val="002322FC"/>
    <w:rsid w:val="00241A2F"/>
    <w:rsid w:val="00241AC0"/>
    <w:rsid w:val="00241BD4"/>
    <w:rsid w:val="00241F96"/>
    <w:rsid w:val="00242323"/>
    <w:rsid w:val="002442ED"/>
    <w:rsid w:val="0024458B"/>
    <w:rsid w:val="00247479"/>
    <w:rsid w:val="00250F2D"/>
    <w:rsid w:val="00252538"/>
    <w:rsid w:val="00254EA5"/>
    <w:rsid w:val="00255584"/>
    <w:rsid w:val="002566E6"/>
    <w:rsid w:val="00256B01"/>
    <w:rsid w:val="00257160"/>
    <w:rsid w:val="00260E9A"/>
    <w:rsid w:val="00265F89"/>
    <w:rsid w:val="00271B59"/>
    <w:rsid w:val="002744DB"/>
    <w:rsid w:val="00276358"/>
    <w:rsid w:val="00280E1F"/>
    <w:rsid w:val="00285475"/>
    <w:rsid w:val="0028729E"/>
    <w:rsid w:val="0029269F"/>
    <w:rsid w:val="002952DC"/>
    <w:rsid w:val="00295A19"/>
    <w:rsid w:val="00297D09"/>
    <w:rsid w:val="002A2D66"/>
    <w:rsid w:val="002A5511"/>
    <w:rsid w:val="002A771F"/>
    <w:rsid w:val="002B266A"/>
    <w:rsid w:val="002B2865"/>
    <w:rsid w:val="002B335A"/>
    <w:rsid w:val="002B4B99"/>
    <w:rsid w:val="002B4F96"/>
    <w:rsid w:val="002C16A9"/>
    <w:rsid w:val="002C269F"/>
    <w:rsid w:val="002C3328"/>
    <w:rsid w:val="002C70BB"/>
    <w:rsid w:val="002C73E6"/>
    <w:rsid w:val="002D069E"/>
    <w:rsid w:val="002D2EB3"/>
    <w:rsid w:val="002D49C9"/>
    <w:rsid w:val="002D72FB"/>
    <w:rsid w:val="002E36E4"/>
    <w:rsid w:val="002E370C"/>
    <w:rsid w:val="002E375C"/>
    <w:rsid w:val="002E3B94"/>
    <w:rsid w:val="002E4B38"/>
    <w:rsid w:val="002E6626"/>
    <w:rsid w:val="002E6B2A"/>
    <w:rsid w:val="002F3D07"/>
    <w:rsid w:val="002F6C97"/>
    <w:rsid w:val="002F7588"/>
    <w:rsid w:val="00300CE7"/>
    <w:rsid w:val="00300D0B"/>
    <w:rsid w:val="003011AC"/>
    <w:rsid w:val="00306D7A"/>
    <w:rsid w:val="00310D27"/>
    <w:rsid w:val="00311AEB"/>
    <w:rsid w:val="003125EB"/>
    <w:rsid w:val="00314CFA"/>
    <w:rsid w:val="00315593"/>
    <w:rsid w:val="0032085B"/>
    <w:rsid w:val="00320C57"/>
    <w:rsid w:val="0032608E"/>
    <w:rsid w:val="00330F85"/>
    <w:rsid w:val="0033233F"/>
    <w:rsid w:val="0033289A"/>
    <w:rsid w:val="00332BAD"/>
    <w:rsid w:val="0033388E"/>
    <w:rsid w:val="0034002B"/>
    <w:rsid w:val="00340F1E"/>
    <w:rsid w:val="003428C2"/>
    <w:rsid w:val="0034396E"/>
    <w:rsid w:val="00343CFC"/>
    <w:rsid w:val="00346BD1"/>
    <w:rsid w:val="00347E50"/>
    <w:rsid w:val="00353440"/>
    <w:rsid w:val="00353C10"/>
    <w:rsid w:val="00355BE8"/>
    <w:rsid w:val="00356851"/>
    <w:rsid w:val="00357A71"/>
    <w:rsid w:val="003605F4"/>
    <w:rsid w:val="00366B78"/>
    <w:rsid w:val="00367061"/>
    <w:rsid w:val="00370539"/>
    <w:rsid w:val="00371310"/>
    <w:rsid w:val="00372140"/>
    <w:rsid w:val="00372384"/>
    <w:rsid w:val="0037507A"/>
    <w:rsid w:val="003766F2"/>
    <w:rsid w:val="0037765E"/>
    <w:rsid w:val="003778F3"/>
    <w:rsid w:val="003779AB"/>
    <w:rsid w:val="00377EEA"/>
    <w:rsid w:val="003829C8"/>
    <w:rsid w:val="0038656F"/>
    <w:rsid w:val="00386BAC"/>
    <w:rsid w:val="00386FA7"/>
    <w:rsid w:val="00392BB2"/>
    <w:rsid w:val="0039588B"/>
    <w:rsid w:val="003A0740"/>
    <w:rsid w:val="003A145D"/>
    <w:rsid w:val="003A15BF"/>
    <w:rsid w:val="003A1DC6"/>
    <w:rsid w:val="003A418C"/>
    <w:rsid w:val="003A4844"/>
    <w:rsid w:val="003B150A"/>
    <w:rsid w:val="003B21DD"/>
    <w:rsid w:val="003B26C6"/>
    <w:rsid w:val="003B30B9"/>
    <w:rsid w:val="003B3C87"/>
    <w:rsid w:val="003C20CE"/>
    <w:rsid w:val="003C4162"/>
    <w:rsid w:val="003C57A0"/>
    <w:rsid w:val="003C6E19"/>
    <w:rsid w:val="003D0963"/>
    <w:rsid w:val="003D7493"/>
    <w:rsid w:val="003E0FC2"/>
    <w:rsid w:val="003E1789"/>
    <w:rsid w:val="003E2075"/>
    <w:rsid w:val="003E2482"/>
    <w:rsid w:val="003E27AD"/>
    <w:rsid w:val="003E569F"/>
    <w:rsid w:val="003F061E"/>
    <w:rsid w:val="003F3EC8"/>
    <w:rsid w:val="003F56C6"/>
    <w:rsid w:val="003F7AD0"/>
    <w:rsid w:val="0040337B"/>
    <w:rsid w:val="004037BB"/>
    <w:rsid w:val="004048FC"/>
    <w:rsid w:val="00405890"/>
    <w:rsid w:val="00405B8A"/>
    <w:rsid w:val="0041156F"/>
    <w:rsid w:val="00413E58"/>
    <w:rsid w:val="004177FD"/>
    <w:rsid w:val="00420F83"/>
    <w:rsid w:val="00422023"/>
    <w:rsid w:val="00422706"/>
    <w:rsid w:val="00423B2A"/>
    <w:rsid w:val="00426F79"/>
    <w:rsid w:val="00427C7F"/>
    <w:rsid w:val="00432286"/>
    <w:rsid w:val="00434C3F"/>
    <w:rsid w:val="00434FAB"/>
    <w:rsid w:val="00435725"/>
    <w:rsid w:val="0044307F"/>
    <w:rsid w:val="004431D5"/>
    <w:rsid w:val="00444935"/>
    <w:rsid w:val="00447036"/>
    <w:rsid w:val="00450A55"/>
    <w:rsid w:val="00452A98"/>
    <w:rsid w:val="00455C8B"/>
    <w:rsid w:val="0046360C"/>
    <w:rsid w:val="00463D01"/>
    <w:rsid w:val="004667A4"/>
    <w:rsid w:val="0046749A"/>
    <w:rsid w:val="004676B9"/>
    <w:rsid w:val="00473CE2"/>
    <w:rsid w:val="00480DFD"/>
    <w:rsid w:val="004857BF"/>
    <w:rsid w:val="00485FA5"/>
    <w:rsid w:val="00486693"/>
    <w:rsid w:val="00486C18"/>
    <w:rsid w:val="00487D39"/>
    <w:rsid w:val="004908FD"/>
    <w:rsid w:val="00491DF6"/>
    <w:rsid w:val="00497226"/>
    <w:rsid w:val="004977F3"/>
    <w:rsid w:val="004A0379"/>
    <w:rsid w:val="004A2A0A"/>
    <w:rsid w:val="004A5B53"/>
    <w:rsid w:val="004B0BED"/>
    <w:rsid w:val="004B2623"/>
    <w:rsid w:val="004B27B9"/>
    <w:rsid w:val="004C1361"/>
    <w:rsid w:val="004C1983"/>
    <w:rsid w:val="004C3BE2"/>
    <w:rsid w:val="004C499D"/>
    <w:rsid w:val="004C6133"/>
    <w:rsid w:val="004C61C4"/>
    <w:rsid w:val="004C698E"/>
    <w:rsid w:val="004D0E51"/>
    <w:rsid w:val="004D3609"/>
    <w:rsid w:val="004D59D3"/>
    <w:rsid w:val="004D75BB"/>
    <w:rsid w:val="004D7F46"/>
    <w:rsid w:val="004E2D6A"/>
    <w:rsid w:val="004E4175"/>
    <w:rsid w:val="004E4943"/>
    <w:rsid w:val="004F06EF"/>
    <w:rsid w:val="004F2B6C"/>
    <w:rsid w:val="004F5BCB"/>
    <w:rsid w:val="004F67C1"/>
    <w:rsid w:val="004F68DA"/>
    <w:rsid w:val="004F712B"/>
    <w:rsid w:val="00501FDB"/>
    <w:rsid w:val="00505447"/>
    <w:rsid w:val="00505645"/>
    <w:rsid w:val="005100C1"/>
    <w:rsid w:val="005100C4"/>
    <w:rsid w:val="00512712"/>
    <w:rsid w:val="005146F7"/>
    <w:rsid w:val="005159E4"/>
    <w:rsid w:val="005212DA"/>
    <w:rsid w:val="0052166C"/>
    <w:rsid w:val="005272CE"/>
    <w:rsid w:val="0053092A"/>
    <w:rsid w:val="00532B3A"/>
    <w:rsid w:val="005330FD"/>
    <w:rsid w:val="0053424C"/>
    <w:rsid w:val="00534829"/>
    <w:rsid w:val="00534FA2"/>
    <w:rsid w:val="0053668A"/>
    <w:rsid w:val="00537CD7"/>
    <w:rsid w:val="00545255"/>
    <w:rsid w:val="00545863"/>
    <w:rsid w:val="00545D5B"/>
    <w:rsid w:val="005468D3"/>
    <w:rsid w:val="005508A8"/>
    <w:rsid w:val="00550A67"/>
    <w:rsid w:val="00551561"/>
    <w:rsid w:val="005518D9"/>
    <w:rsid w:val="00551911"/>
    <w:rsid w:val="005522B3"/>
    <w:rsid w:val="00553818"/>
    <w:rsid w:val="00554139"/>
    <w:rsid w:val="00555ADE"/>
    <w:rsid w:val="00560492"/>
    <w:rsid w:val="0056081B"/>
    <w:rsid w:val="00561E35"/>
    <w:rsid w:val="00563A1D"/>
    <w:rsid w:val="00564018"/>
    <w:rsid w:val="005640C9"/>
    <w:rsid w:val="00565B42"/>
    <w:rsid w:val="005660EC"/>
    <w:rsid w:val="005712B6"/>
    <w:rsid w:val="0057681A"/>
    <w:rsid w:val="00577607"/>
    <w:rsid w:val="00577A24"/>
    <w:rsid w:val="0058104D"/>
    <w:rsid w:val="0058175B"/>
    <w:rsid w:val="00581F54"/>
    <w:rsid w:val="005835AC"/>
    <w:rsid w:val="00583A0C"/>
    <w:rsid w:val="00584143"/>
    <w:rsid w:val="00584D71"/>
    <w:rsid w:val="00585F86"/>
    <w:rsid w:val="0058704C"/>
    <w:rsid w:val="005927E3"/>
    <w:rsid w:val="005936AD"/>
    <w:rsid w:val="00593A25"/>
    <w:rsid w:val="00593D3D"/>
    <w:rsid w:val="00593DA9"/>
    <w:rsid w:val="0059407E"/>
    <w:rsid w:val="00596B32"/>
    <w:rsid w:val="00597D98"/>
    <w:rsid w:val="005A0B8E"/>
    <w:rsid w:val="005A0C32"/>
    <w:rsid w:val="005A0D46"/>
    <w:rsid w:val="005A134B"/>
    <w:rsid w:val="005A5212"/>
    <w:rsid w:val="005A634B"/>
    <w:rsid w:val="005A741E"/>
    <w:rsid w:val="005B038B"/>
    <w:rsid w:val="005B3E20"/>
    <w:rsid w:val="005B4C46"/>
    <w:rsid w:val="005C5E2C"/>
    <w:rsid w:val="005C7E30"/>
    <w:rsid w:val="005D2348"/>
    <w:rsid w:val="005D29BF"/>
    <w:rsid w:val="005D301D"/>
    <w:rsid w:val="005D3230"/>
    <w:rsid w:val="005D3BCD"/>
    <w:rsid w:val="005D4B89"/>
    <w:rsid w:val="005D5C6B"/>
    <w:rsid w:val="005D5C81"/>
    <w:rsid w:val="005E152D"/>
    <w:rsid w:val="005E2036"/>
    <w:rsid w:val="005E22AD"/>
    <w:rsid w:val="005E29A8"/>
    <w:rsid w:val="005E510A"/>
    <w:rsid w:val="005E617A"/>
    <w:rsid w:val="005E70B9"/>
    <w:rsid w:val="005E7639"/>
    <w:rsid w:val="005F20AB"/>
    <w:rsid w:val="005F2144"/>
    <w:rsid w:val="005F4687"/>
    <w:rsid w:val="005F528A"/>
    <w:rsid w:val="005F6FD6"/>
    <w:rsid w:val="005F7D8F"/>
    <w:rsid w:val="00601DCE"/>
    <w:rsid w:val="0060231D"/>
    <w:rsid w:val="00602C65"/>
    <w:rsid w:val="00605C35"/>
    <w:rsid w:val="00616091"/>
    <w:rsid w:val="006223DB"/>
    <w:rsid w:val="00623E20"/>
    <w:rsid w:val="00625345"/>
    <w:rsid w:val="00627D0C"/>
    <w:rsid w:val="006309DB"/>
    <w:rsid w:val="00632B4E"/>
    <w:rsid w:val="00636751"/>
    <w:rsid w:val="00642D65"/>
    <w:rsid w:val="00645ECA"/>
    <w:rsid w:val="00651729"/>
    <w:rsid w:val="006517EA"/>
    <w:rsid w:val="00654397"/>
    <w:rsid w:val="00654482"/>
    <w:rsid w:val="00656D35"/>
    <w:rsid w:val="00657FB4"/>
    <w:rsid w:val="00663B4C"/>
    <w:rsid w:val="00665CD0"/>
    <w:rsid w:val="006725AA"/>
    <w:rsid w:val="006743F4"/>
    <w:rsid w:val="006751F1"/>
    <w:rsid w:val="00682706"/>
    <w:rsid w:val="00682736"/>
    <w:rsid w:val="006844BD"/>
    <w:rsid w:val="00685039"/>
    <w:rsid w:val="00690E94"/>
    <w:rsid w:val="00691690"/>
    <w:rsid w:val="006924F9"/>
    <w:rsid w:val="006934E6"/>
    <w:rsid w:val="006A41B5"/>
    <w:rsid w:val="006A5936"/>
    <w:rsid w:val="006A7124"/>
    <w:rsid w:val="006A78D1"/>
    <w:rsid w:val="006B343E"/>
    <w:rsid w:val="006B4A0E"/>
    <w:rsid w:val="006B696C"/>
    <w:rsid w:val="006B748F"/>
    <w:rsid w:val="006B74CC"/>
    <w:rsid w:val="006C0F4E"/>
    <w:rsid w:val="006C1FB3"/>
    <w:rsid w:val="006C24F0"/>
    <w:rsid w:val="006C256E"/>
    <w:rsid w:val="006C2609"/>
    <w:rsid w:val="006C2CF5"/>
    <w:rsid w:val="006C2E37"/>
    <w:rsid w:val="006C3F87"/>
    <w:rsid w:val="006C6536"/>
    <w:rsid w:val="006C758C"/>
    <w:rsid w:val="006D2A11"/>
    <w:rsid w:val="006E079D"/>
    <w:rsid w:val="006E11B5"/>
    <w:rsid w:val="006E11E2"/>
    <w:rsid w:val="006E27C5"/>
    <w:rsid w:val="006E28A2"/>
    <w:rsid w:val="006E736C"/>
    <w:rsid w:val="006F1017"/>
    <w:rsid w:val="006F3EDF"/>
    <w:rsid w:val="00700BF5"/>
    <w:rsid w:val="0070383D"/>
    <w:rsid w:val="007063F9"/>
    <w:rsid w:val="0070670A"/>
    <w:rsid w:val="00707318"/>
    <w:rsid w:val="00710DB8"/>
    <w:rsid w:val="00711540"/>
    <w:rsid w:val="007138D6"/>
    <w:rsid w:val="0071451D"/>
    <w:rsid w:val="00714E73"/>
    <w:rsid w:val="00715B6A"/>
    <w:rsid w:val="00716AF5"/>
    <w:rsid w:val="007175D2"/>
    <w:rsid w:val="00717A89"/>
    <w:rsid w:val="00721EB9"/>
    <w:rsid w:val="007235F0"/>
    <w:rsid w:val="00723BDA"/>
    <w:rsid w:val="007245D3"/>
    <w:rsid w:val="00725C6F"/>
    <w:rsid w:val="00725C93"/>
    <w:rsid w:val="00726C4E"/>
    <w:rsid w:val="007278C7"/>
    <w:rsid w:val="0073150E"/>
    <w:rsid w:val="0073419F"/>
    <w:rsid w:val="00734415"/>
    <w:rsid w:val="00734667"/>
    <w:rsid w:val="00734EEA"/>
    <w:rsid w:val="00735E02"/>
    <w:rsid w:val="00737C27"/>
    <w:rsid w:val="00740A40"/>
    <w:rsid w:val="0074127B"/>
    <w:rsid w:val="00743B98"/>
    <w:rsid w:val="00743D49"/>
    <w:rsid w:val="0075023E"/>
    <w:rsid w:val="0075119E"/>
    <w:rsid w:val="007523B6"/>
    <w:rsid w:val="00753CD7"/>
    <w:rsid w:val="007540E0"/>
    <w:rsid w:val="00754BC7"/>
    <w:rsid w:val="007636BD"/>
    <w:rsid w:val="00765064"/>
    <w:rsid w:val="00766159"/>
    <w:rsid w:val="0076673D"/>
    <w:rsid w:val="00767502"/>
    <w:rsid w:val="00771CDE"/>
    <w:rsid w:val="00772BBE"/>
    <w:rsid w:val="00774CD2"/>
    <w:rsid w:val="00774F80"/>
    <w:rsid w:val="00776420"/>
    <w:rsid w:val="00777D23"/>
    <w:rsid w:val="00777DF6"/>
    <w:rsid w:val="00781484"/>
    <w:rsid w:val="00781640"/>
    <w:rsid w:val="00781CB9"/>
    <w:rsid w:val="00783D2E"/>
    <w:rsid w:val="00784E18"/>
    <w:rsid w:val="007866FB"/>
    <w:rsid w:val="00787A4A"/>
    <w:rsid w:val="007919F8"/>
    <w:rsid w:val="007932BF"/>
    <w:rsid w:val="007950FC"/>
    <w:rsid w:val="00795543"/>
    <w:rsid w:val="0079640B"/>
    <w:rsid w:val="00796732"/>
    <w:rsid w:val="00796923"/>
    <w:rsid w:val="007A2087"/>
    <w:rsid w:val="007A2254"/>
    <w:rsid w:val="007A3288"/>
    <w:rsid w:val="007A444E"/>
    <w:rsid w:val="007A4C9F"/>
    <w:rsid w:val="007A5564"/>
    <w:rsid w:val="007A6E40"/>
    <w:rsid w:val="007B174F"/>
    <w:rsid w:val="007B2C8E"/>
    <w:rsid w:val="007B3083"/>
    <w:rsid w:val="007B5BBE"/>
    <w:rsid w:val="007B7B34"/>
    <w:rsid w:val="007B7F3F"/>
    <w:rsid w:val="007C106D"/>
    <w:rsid w:val="007C5174"/>
    <w:rsid w:val="007D1CFD"/>
    <w:rsid w:val="007D4AB6"/>
    <w:rsid w:val="007E1B15"/>
    <w:rsid w:val="007E2E3D"/>
    <w:rsid w:val="007E58D1"/>
    <w:rsid w:val="007F1DD5"/>
    <w:rsid w:val="007F4D3F"/>
    <w:rsid w:val="007F5E45"/>
    <w:rsid w:val="007F7A5F"/>
    <w:rsid w:val="00801EA1"/>
    <w:rsid w:val="00805003"/>
    <w:rsid w:val="008050C3"/>
    <w:rsid w:val="00805150"/>
    <w:rsid w:val="00805C89"/>
    <w:rsid w:val="008064C3"/>
    <w:rsid w:val="008077E6"/>
    <w:rsid w:val="008119B7"/>
    <w:rsid w:val="008136BF"/>
    <w:rsid w:val="00813D9A"/>
    <w:rsid w:val="00820166"/>
    <w:rsid w:val="0082126D"/>
    <w:rsid w:val="00821B14"/>
    <w:rsid w:val="00822613"/>
    <w:rsid w:val="0082276A"/>
    <w:rsid w:val="00822C51"/>
    <w:rsid w:val="00823A57"/>
    <w:rsid w:val="00825B0C"/>
    <w:rsid w:val="0083468B"/>
    <w:rsid w:val="008355DF"/>
    <w:rsid w:val="008376C7"/>
    <w:rsid w:val="00837E7C"/>
    <w:rsid w:val="00840728"/>
    <w:rsid w:val="008408AB"/>
    <w:rsid w:val="00841EF3"/>
    <w:rsid w:val="00843F18"/>
    <w:rsid w:val="008468D0"/>
    <w:rsid w:val="00846A56"/>
    <w:rsid w:val="008479F9"/>
    <w:rsid w:val="00851DF2"/>
    <w:rsid w:val="0085772D"/>
    <w:rsid w:val="00862381"/>
    <w:rsid w:val="00864CA2"/>
    <w:rsid w:val="008673E3"/>
    <w:rsid w:val="00872216"/>
    <w:rsid w:val="008722DB"/>
    <w:rsid w:val="00873775"/>
    <w:rsid w:val="0087385F"/>
    <w:rsid w:val="00876D10"/>
    <w:rsid w:val="0088103E"/>
    <w:rsid w:val="00886EBD"/>
    <w:rsid w:val="0089005F"/>
    <w:rsid w:val="00890E8F"/>
    <w:rsid w:val="008948CF"/>
    <w:rsid w:val="0089642E"/>
    <w:rsid w:val="008A07F0"/>
    <w:rsid w:val="008A7D88"/>
    <w:rsid w:val="008B0391"/>
    <w:rsid w:val="008B18DF"/>
    <w:rsid w:val="008B379E"/>
    <w:rsid w:val="008C136D"/>
    <w:rsid w:val="008C14A3"/>
    <w:rsid w:val="008C21EA"/>
    <w:rsid w:val="008C2606"/>
    <w:rsid w:val="008C30FA"/>
    <w:rsid w:val="008D1A29"/>
    <w:rsid w:val="008D2077"/>
    <w:rsid w:val="008D2B7B"/>
    <w:rsid w:val="008E009B"/>
    <w:rsid w:val="008E15CF"/>
    <w:rsid w:val="008E3BF4"/>
    <w:rsid w:val="008E4CCC"/>
    <w:rsid w:val="008F0664"/>
    <w:rsid w:val="008F08EB"/>
    <w:rsid w:val="008F0DC6"/>
    <w:rsid w:val="008F2018"/>
    <w:rsid w:val="008F23DA"/>
    <w:rsid w:val="008F57BD"/>
    <w:rsid w:val="008F7FEF"/>
    <w:rsid w:val="00901E93"/>
    <w:rsid w:val="00902E25"/>
    <w:rsid w:val="009031C3"/>
    <w:rsid w:val="009053AF"/>
    <w:rsid w:val="009053BF"/>
    <w:rsid w:val="009066DC"/>
    <w:rsid w:val="009068C7"/>
    <w:rsid w:val="00912DBF"/>
    <w:rsid w:val="009130AF"/>
    <w:rsid w:val="00913A54"/>
    <w:rsid w:val="0091504D"/>
    <w:rsid w:val="009171F9"/>
    <w:rsid w:val="009179CA"/>
    <w:rsid w:val="009217BA"/>
    <w:rsid w:val="009244F3"/>
    <w:rsid w:val="00924F5F"/>
    <w:rsid w:val="00926B60"/>
    <w:rsid w:val="00926B62"/>
    <w:rsid w:val="00930CF4"/>
    <w:rsid w:val="00931106"/>
    <w:rsid w:val="009322B6"/>
    <w:rsid w:val="00935237"/>
    <w:rsid w:val="009356B2"/>
    <w:rsid w:val="009373B2"/>
    <w:rsid w:val="0093770E"/>
    <w:rsid w:val="009411CB"/>
    <w:rsid w:val="00942D9F"/>
    <w:rsid w:val="009430B0"/>
    <w:rsid w:val="00943D42"/>
    <w:rsid w:val="00943F1F"/>
    <w:rsid w:val="00945B08"/>
    <w:rsid w:val="00947BEF"/>
    <w:rsid w:val="009504EE"/>
    <w:rsid w:val="0095136B"/>
    <w:rsid w:val="00951D2A"/>
    <w:rsid w:val="009528F0"/>
    <w:rsid w:val="00953941"/>
    <w:rsid w:val="00957590"/>
    <w:rsid w:val="00960D72"/>
    <w:rsid w:val="0096210E"/>
    <w:rsid w:val="009647F4"/>
    <w:rsid w:val="00964FDB"/>
    <w:rsid w:val="009664EE"/>
    <w:rsid w:val="00966870"/>
    <w:rsid w:val="0096786C"/>
    <w:rsid w:val="009716D0"/>
    <w:rsid w:val="00975CEE"/>
    <w:rsid w:val="009769A1"/>
    <w:rsid w:val="00980CE0"/>
    <w:rsid w:val="00981E23"/>
    <w:rsid w:val="0098299A"/>
    <w:rsid w:val="00982ACF"/>
    <w:rsid w:val="0098304B"/>
    <w:rsid w:val="00984485"/>
    <w:rsid w:val="00984622"/>
    <w:rsid w:val="0099068D"/>
    <w:rsid w:val="0099093F"/>
    <w:rsid w:val="00990D5B"/>
    <w:rsid w:val="0099391A"/>
    <w:rsid w:val="00993CD8"/>
    <w:rsid w:val="009943A4"/>
    <w:rsid w:val="009A1E7E"/>
    <w:rsid w:val="009A5382"/>
    <w:rsid w:val="009A778A"/>
    <w:rsid w:val="009A795E"/>
    <w:rsid w:val="009B1015"/>
    <w:rsid w:val="009B4BB7"/>
    <w:rsid w:val="009B6761"/>
    <w:rsid w:val="009B7F4A"/>
    <w:rsid w:val="009C2208"/>
    <w:rsid w:val="009D0CE0"/>
    <w:rsid w:val="009D0D4E"/>
    <w:rsid w:val="009D2479"/>
    <w:rsid w:val="009D2851"/>
    <w:rsid w:val="009D48FC"/>
    <w:rsid w:val="009D527E"/>
    <w:rsid w:val="009D6CD4"/>
    <w:rsid w:val="009D79C8"/>
    <w:rsid w:val="009D7E66"/>
    <w:rsid w:val="009E1ABB"/>
    <w:rsid w:val="009F09E7"/>
    <w:rsid w:val="009F19BF"/>
    <w:rsid w:val="009F5339"/>
    <w:rsid w:val="009F614E"/>
    <w:rsid w:val="009F696B"/>
    <w:rsid w:val="00A00592"/>
    <w:rsid w:val="00A0060D"/>
    <w:rsid w:val="00A009F4"/>
    <w:rsid w:val="00A01CDF"/>
    <w:rsid w:val="00A03824"/>
    <w:rsid w:val="00A03B65"/>
    <w:rsid w:val="00A03DAB"/>
    <w:rsid w:val="00A03EBE"/>
    <w:rsid w:val="00A0491B"/>
    <w:rsid w:val="00A062AF"/>
    <w:rsid w:val="00A06502"/>
    <w:rsid w:val="00A06713"/>
    <w:rsid w:val="00A0743C"/>
    <w:rsid w:val="00A108C5"/>
    <w:rsid w:val="00A11AAF"/>
    <w:rsid w:val="00A11C22"/>
    <w:rsid w:val="00A12202"/>
    <w:rsid w:val="00A12603"/>
    <w:rsid w:val="00A12BD5"/>
    <w:rsid w:val="00A14A73"/>
    <w:rsid w:val="00A16EC8"/>
    <w:rsid w:val="00A21C7B"/>
    <w:rsid w:val="00A2669B"/>
    <w:rsid w:val="00A31B24"/>
    <w:rsid w:val="00A32E06"/>
    <w:rsid w:val="00A3466D"/>
    <w:rsid w:val="00A354FE"/>
    <w:rsid w:val="00A36130"/>
    <w:rsid w:val="00A3764F"/>
    <w:rsid w:val="00A37EED"/>
    <w:rsid w:val="00A43294"/>
    <w:rsid w:val="00A440FE"/>
    <w:rsid w:val="00A46B13"/>
    <w:rsid w:val="00A5309A"/>
    <w:rsid w:val="00A531CC"/>
    <w:rsid w:val="00A53F7D"/>
    <w:rsid w:val="00A54651"/>
    <w:rsid w:val="00A5509B"/>
    <w:rsid w:val="00A60D7F"/>
    <w:rsid w:val="00A61B21"/>
    <w:rsid w:val="00A64E0D"/>
    <w:rsid w:val="00A660B5"/>
    <w:rsid w:val="00A7137D"/>
    <w:rsid w:val="00A72D15"/>
    <w:rsid w:val="00A72F58"/>
    <w:rsid w:val="00A75A0E"/>
    <w:rsid w:val="00A84B7C"/>
    <w:rsid w:val="00A8537B"/>
    <w:rsid w:val="00A87522"/>
    <w:rsid w:val="00A9043E"/>
    <w:rsid w:val="00A9071B"/>
    <w:rsid w:val="00A913FF"/>
    <w:rsid w:val="00A92603"/>
    <w:rsid w:val="00A95A38"/>
    <w:rsid w:val="00AA501E"/>
    <w:rsid w:val="00AA5DE4"/>
    <w:rsid w:val="00AB4D74"/>
    <w:rsid w:val="00AB7CB7"/>
    <w:rsid w:val="00AC1A0B"/>
    <w:rsid w:val="00AC2500"/>
    <w:rsid w:val="00AC3B4B"/>
    <w:rsid w:val="00AC4D09"/>
    <w:rsid w:val="00AC6DF8"/>
    <w:rsid w:val="00AD13D9"/>
    <w:rsid w:val="00AD15C1"/>
    <w:rsid w:val="00AD28D6"/>
    <w:rsid w:val="00AD4793"/>
    <w:rsid w:val="00AD764A"/>
    <w:rsid w:val="00AD768B"/>
    <w:rsid w:val="00AE062A"/>
    <w:rsid w:val="00AE24AF"/>
    <w:rsid w:val="00AE383D"/>
    <w:rsid w:val="00AE499A"/>
    <w:rsid w:val="00AF2698"/>
    <w:rsid w:val="00AF28C8"/>
    <w:rsid w:val="00AF591F"/>
    <w:rsid w:val="00AF6694"/>
    <w:rsid w:val="00AF7C29"/>
    <w:rsid w:val="00B02B3A"/>
    <w:rsid w:val="00B02F47"/>
    <w:rsid w:val="00B03E89"/>
    <w:rsid w:val="00B043BA"/>
    <w:rsid w:val="00B04BFF"/>
    <w:rsid w:val="00B11A78"/>
    <w:rsid w:val="00B11CAF"/>
    <w:rsid w:val="00B153A2"/>
    <w:rsid w:val="00B17128"/>
    <w:rsid w:val="00B25FFC"/>
    <w:rsid w:val="00B2663A"/>
    <w:rsid w:val="00B279EF"/>
    <w:rsid w:val="00B309EA"/>
    <w:rsid w:val="00B33229"/>
    <w:rsid w:val="00B341D8"/>
    <w:rsid w:val="00B344A8"/>
    <w:rsid w:val="00B36C35"/>
    <w:rsid w:val="00B40AEF"/>
    <w:rsid w:val="00B42D2D"/>
    <w:rsid w:val="00B453AC"/>
    <w:rsid w:val="00B52211"/>
    <w:rsid w:val="00B52EE9"/>
    <w:rsid w:val="00B53721"/>
    <w:rsid w:val="00B54396"/>
    <w:rsid w:val="00B56C58"/>
    <w:rsid w:val="00B5748C"/>
    <w:rsid w:val="00B579F0"/>
    <w:rsid w:val="00B61287"/>
    <w:rsid w:val="00B61B61"/>
    <w:rsid w:val="00B63835"/>
    <w:rsid w:val="00B64AA4"/>
    <w:rsid w:val="00B6650D"/>
    <w:rsid w:val="00B66532"/>
    <w:rsid w:val="00B67994"/>
    <w:rsid w:val="00B71726"/>
    <w:rsid w:val="00B76A33"/>
    <w:rsid w:val="00B85F94"/>
    <w:rsid w:val="00B861A7"/>
    <w:rsid w:val="00B86DE9"/>
    <w:rsid w:val="00B870E0"/>
    <w:rsid w:val="00B87149"/>
    <w:rsid w:val="00B876CA"/>
    <w:rsid w:val="00B96049"/>
    <w:rsid w:val="00B97618"/>
    <w:rsid w:val="00B976AB"/>
    <w:rsid w:val="00B97E7E"/>
    <w:rsid w:val="00BA11B6"/>
    <w:rsid w:val="00BA1E00"/>
    <w:rsid w:val="00BA4B41"/>
    <w:rsid w:val="00BB0790"/>
    <w:rsid w:val="00BB1A00"/>
    <w:rsid w:val="00BB2582"/>
    <w:rsid w:val="00BB3B67"/>
    <w:rsid w:val="00BB4873"/>
    <w:rsid w:val="00BB7645"/>
    <w:rsid w:val="00BC0616"/>
    <w:rsid w:val="00BC1178"/>
    <w:rsid w:val="00BC1E81"/>
    <w:rsid w:val="00BC52F7"/>
    <w:rsid w:val="00BC6EBB"/>
    <w:rsid w:val="00BC7364"/>
    <w:rsid w:val="00BC79C2"/>
    <w:rsid w:val="00BD2DF1"/>
    <w:rsid w:val="00BD74DF"/>
    <w:rsid w:val="00BE0D87"/>
    <w:rsid w:val="00BE2F36"/>
    <w:rsid w:val="00BE3395"/>
    <w:rsid w:val="00BE3603"/>
    <w:rsid w:val="00BE4A39"/>
    <w:rsid w:val="00BE5912"/>
    <w:rsid w:val="00BF08A5"/>
    <w:rsid w:val="00BF2063"/>
    <w:rsid w:val="00BF2EEF"/>
    <w:rsid w:val="00C003B9"/>
    <w:rsid w:val="00C01D6D"/>
    <w:rsid w:val="00C044FB"/>
    <w:rsid w:val="00C04791"/>
    <w:rsid w:val="00C05491"/>
    <w:rsid w:val="00C0783F"/>
    <w:rsid w:val="00C100CE"/>
    <w:rsid w:val="00C111CA"/>
    <w:rsid w:val="00C1146F"/>
    <w:rsid w:val="00C16711"/>
    <w:rsid w:val="00C17ADF"/>
    <w:rsid w:val="00C209AC"/>
    <w:rsid w:val="00C22EF9"/>
    <w:rsid w:val="00C26907"/>
    <w:rsid w:val="00C2752A"/>
    <w:rsid w:val="00C27532"/>
    <w:rsid w:val="00C27FB6"/>
    <w:rsid w:val="00C302A9"/>
    <w:rsid w:val="00C303AE"/>
    <w:rsid w:val="00C3091A"/>
    <w:rsid w:val="00C35A30"/>
    <w:rsid w:val="00C373D3"/>
    <w:rsid w:val="00C420FF"/>
    <w:rsid w:val="00C4488D"/>
    <w:rsid w:val="00C44D78"/>
    <w:rsid w:val="00C45E86"/>
    <w:rsid w:val="00C47B42"/>
    <w:rsid w:val="00C50738"/>
    <w:rsid w:val="00C535C0"/>
    <w:rsid w:val="00C54CDB"/>
    <w:rsid w:val="00C577DF"/>
    <w:rsid w:val="00C604F9"/>
    <w:rsid w:val="00C62401"/>
    <w:rsid w:val="00C65322"/>
    <w:rsid w:val="00C656DD"/>
    <w:rsid w:val="00C66D2C"/>
    <w:rsid w:val="00C7043B"/>
    <w:rsid w:val="00C71767"/>
    <w:rsid w:val="00C73BE3"/>
    <w:rsid w:val="00C744E5"/>
    <w:rsid w:val="00C757B5"/>
    <w:rsid w:val="00C76332"/>
    <w:rsid w:val="00C7667F"/>
    <w:rsid w:val="00C777C4"/>
    <w:rsid w:val="00C8057B"/>
    <w:rsid w:val="00C8186A"/>
    <w:rsid w:val="00C825A1"/>
    <w:rsid w:val="00C857E5"/>
    <w:rsid w:val="00C94272"/>
    <w:rsid w:val="00C95065"/>
    <w:rsid w:val="00C976EB"/>
    <w:rsid w:val="00C97E02"/>
    <w:rsid w:val="00CA0AA1"/>
    <w:rsid w:val="00CA43AF"/>
    <w:rsid w:val="00CA7EBA"/>
    <w:rsid w:val="00CB0911"/>
    <w:rsid w:val="00CB2F0E"/>
    <w:rsid w:val="00CB30C1"/>
    <w:rsid w:val="00CB48C2"/>
    <w:rsid w:val="00CB7C23"/>
    <w:rsid w:val="00CC0F2B"/>
    <w:rsid w:val="00CC2478"/>
    <w:rsid w:val="00CC45F4"/>
    <w:rsid w:val="00CC54D0"/>
    <w:rsid w:val="00CC62ED"/>
    <w:rsid w:val="00CC690D"/>
    <w:rsid w:val="00CC7114"/>
    <w:rsid w:val="00CD3272"/>
    <w:rsid w:val="00CD33C8"/>
    <w:rsid w:val="00CD5265"/>
    <w:rsid w:val="00CD62A3"/>
    <w:rsid w:val="00CD7280"/>
    <w:rsid w:val="00CD79B9"/>
    <w:rsid w:val="00CE0F95"/>
    <w:rsid w:val="00CE2C9B"/>
    <w:rsid w:val="00CE2D2E"/>
    <w:rsid w:val="00CE3A15"/>
    <w:rsid w:val="00CE3C3C"/>
    <w:rsid w:val="00CE5506"/>
    <w:rsid w:val="00CE6A59"/>
    <w:rsid w:val="00CF0B33"/>
    <w:rsid w:val="00CF3048"/>
    <w:rsid w:val="00CF7123"/>
    <w:rsid w:val="00D00138"/>
    <w:rsid w:val="00D00DC3"/>
    <w:rsid w:val="00D012B2"/>
    <w:rsid w:val="00D019B6"/>
    <w:rsid w:val="00D054F9"/>
    <w:rsid w:val="00D10F77"/>
    <w:rsid w:val="00D12636"/>
    <w:rsid w:val="00D130D2"/>
    <w:rsid w:val="00D13369"/>
    <w:rsid w:val="00D13539"/>
    <w:rsid w:val="00D13E82"/>
    <w:rsid w:val="00D16140"/>
    <w:rsid w:val="00D23111"/>
    <w:rsid w:val="00D23BF2"/>
    <w:rsid w:val="00D2686E"/>
    <w:rsid w:val="00D303F2"/>
    <w:rsid w:val="00D31F92"/>
    <w:rsid w:val="00D32848"/>
    <w:rsid w:val="00D44DA0"/>
    <w:rsid w:val="00D4645D"/>
    <w:rsid w:val="00D47535"/>
    <w:rsid w:val="00D478CD"/>
    <w:rsid w:val="00D47A41"/>
    <w:rsid w:val="00D47C02"/>
    <w:rsid w:val="00D51B30"/>
    <w:rsid w:val="00D52A39"/>
    <w:rsid w:val="00D52E2B"/>
    <w:rsid w:val="00D530A4"/>
    <w:rsid w:val="00D569D7"/>
    <w:rsid w:val="00D57463"/>
    <w:rsid w:val="00D61DCB"/>
    <w:rsid w:val="00D639E6"/>
    <w:rsid w:val="00D64EA7"/>
    <w:rsid w:val="00D72F08"/>
    <w:rsid w:val="00D75163"/>
    <w:rsid w:val="00D75946"/>
    <w:rsid w:val="00D762BE"/>
    <w:rsid w:val="00D76DF7"/>
    <w:rsid w:val="00D8020E"/>
    <w:rsid w:val="00D83CA0"/>
    <w:rsid w:val="00D8514F"/>
    <w:rsid w:val="00D862A5"/>
    <w:rsid w:val="00D86785"/>
    <w:rsid w:val="00D86DB5"/>
    <w:rsid w:val="00D871F8"/>
    <w:rsid w:val="00D91845"/>
    <w:rsid w:val="00D91A5D"/>
    <w:rsid w:val="00D92201"/>
    <w:rsid w:val="00D938F0"/>
    <w:rsid w:val="00D96646"/>
    <w:rsid w:val="00DA2EC1"/>
    <w:rsid w:val="00DA4FAB"/>
    <w:rsid w:val="00DA7DE2"/>
    <w:rsid w:val="00DB063A"/>
    <w:rsid w:val="00DB1887"/>
    <w:rsid w:val="00DB2A6C"/>
    <w:rsid w:val="00DB3272"/>
    <w:rsid w:val="00DB5297"/>
    <w:rsid w:val="00DB638E"/>
    <w:rsid w:val="00DC09B1"/>
    <w:rsid w:val="00DC216D"/>
    <w:rsid w:val="00DC267B"/>
    <w:rsid w:val="00DC4ABE"/>
    <w:rsid w:val="00DC57AD"/>
    <w:rsid w:val="00DC7BA2"/>
    <w:rsid w:val="00DD0247"/>
    <w:rsid w:val="00DD0D98"/>
    <w:rsid w:val="00DD4EC8"/>
    <w:rsid w:val="00DD5129"/>
    <w:rsid w:val="00DD587D"/>
    <w:rsid w:val="00DD61E1"/>
    <w:rsid w:val="00DD6B21"/>
    <w:rsid w:val="00DD7089"/>
    <w:rsid w:val="00DD7941"/>
    <w:rsid w:val="00DE1C39"/>
    <w:rsid w:val="00DE4AED"/>
    <w:rsid w:val="00DE4C50"/>
    <w:rsid w:val="00DE56DC"/>
    <w:rsid w:val="00DE78B3"/>
    <w:rsid w:val="00DE7D45"/>
    <w:rsid w:val="00DE7F67"/>
    <w:rsid w:val="00DF0468"/>
    <w:rsid w:val="00DF1138"/>
    <w:rsid w:val="00DF1874"/>
    <w:rsid w:val="00DF55CB"/>
    <w:rsid w:val="00DF61BB"/>
    <w:rsid w:val="00DF674D"/>
    <w:rsid w:val="00DF797F"/>
    <w:rsid w:val="00E02A54"/>
    <w:rsid w:val="00E030F2"/>
    <w:rsid w:val="00E04AE6"/>
    <w:rsid w:val="00E06CE8"/>
    <w:rsid w:val="00E0793B"/>
    <w:rsid w:val="00E07A34"/>
    <w:rsid w:val="00E11F07"/>
    <w:rsid w:val="00E12727"/>
    <w:rsid w:val="00E13F72"/>
    <w:rsid w:val="00E15B44"/>
    <w:rsid w:val="00E216AA"/>
    <w:rsid w:val="00E23DA8"/>
    <w:rsid w:val="00E24DB9"/>
    <w:rsid w:val="00E275A9"/>
    <w:rsid w:val="00E314FC"/>
    <w:rsid w:val="00E33369"/>
    <w:rsid w:val="00E337E6"/>
    <w:rsid w:val="00E36122"/>
    <w:rsid w:val="00E36AE2"/>
    <w:rsid w:val="00E37E9C"/>
    <w:rsid w:val="00E40D1F"/>
    <w:rsid w:val="00E41BF2"/>
    <w:rsid w:val="00E430F1"/>
    <w:rsid w:val="00E44C0E"/>
    <w:rsid w:val="00E46896"/>
    <w:rsid w:val="00E47309"/>
    <w:rsid w:val="00E47D20"/>
    <w:rsid w:val="00E47DEA"/>
    <w:rsid w:val="00E5100E"/>
    <w:rsid w:val="00E52BE9"/>
    <w:rsid w:val="00E52DDB"/>
    <w:rsid w:val="00E53757"/>
    <w:rsid w:val="00E5403E"/>
    <w:rsid w:val="00E54049"/>
    <w:rsid w:val="00E55137"/>
    <w:rsid w:val="00E557B9"/>
    <w:rsid w:val="00E56C38"/>
    <w:rsid w:val="00E5765B"/>
    <w:rsid w:val="00E60239"/>
    <w:rsid w:val="00E60FCF"/>
    <w:rsid w:val="00E6133A"/>
    <w:rsid w:val="00E61569"/>
    <w:rsid w:val="00E62698"/>
    <w:rsid w:val="00E66FFF"/>
    <w:rsid w:val="00E7092F"/>
    <w:rsid w:val="00E70E53"/>
    <w:rsid w:val="00E71B22"/>
    <w:rsid w:val="00E71B4E"/>
    <w:rsid w:val="00E72775"/>
    <w:rsid w:val="00E745F3"/>
    <w:rsid w:val="00E74D97"/>
    <w:rsid w:val="00E77B3A"/>
    <w:rsid w:val="00E80B3A"/>
    <w:rsid w:val="00E865EB"/>
    <w:rsid w:val="00E90432"/>
    <w:rsid w:val="00E904C7"/>
    <w:rsid w:val="00E90792"/>
    <w:rsid w:val="00E918B8"/>
    <w:rsid w:val="00E91D12"/>
    <w:rsid w:val="00E95572"/>
    <w:rsid w:val="00E974B3"/>
    <w:rsid w:val="00E97A7C"/>
    <w:rsid w:val="00EA06E2"/>
    <w:rsid w:val="00EA0ADB"/>
    <w:rsid w:val="00EA163E"/>
    <w:rsid w:val="00EA4571"/>
    <w:rsid w:val="00EA53CB"/>
    <w:rsid w:val="00EA53DA"/>
    <w:rsid w:val="00EA6A07"/>
    <w:rsid w:val="00EB0A8A"/>
    <w:rsid w:val="00EB3FB9"/>
    <w:rsid w:val="00EB5CE0"/>
    <w:rsid w:val="00EB740A"/>
    <w:rsid w:val="00EC0499"/>
    <w:rsid w:val="00EC0CD5"/>
    <w:rsid w:val="00EC1232"/>
    <w:rsid w:val="00EC1272"/>
    <w:rsid w:val="00EC1497"/>
    <w:rsid w:val="00EC22B9"/>
    <w:rsid w:val="00EC3631"/>
    <w:rsid w:val="00EC4D51"/>
    <w:rsid w:val="00ED6884"/>
    <w:rsid w:val="00EE570C"/>
    <w:rsid w:val="00EE5F3F"/>
    <w:rsid w:val="00EE608E"/>
    <w:rsid w:val="00EF0BC1"/>
    <w:rsid w:val="00EF1AFC"/>
    <w:rsid w:val="00EF34F2"/>
    <w:rsid w:val="00EF4805"/>
    <w:rsid w:val="00F0048A"/>
    <w:rsid w:val="00F01CAE"/>
    <w:rsid w:val="00F031B7"/>
    <w:rsid w:val="00F03BDA"/>
    <w:rsid w:val="00F03D07"/>
    <w:rsid w:val="00F041CD"/>
    <w:rsid w:val="00F04651"/>
    <w:rsid w:val="00F06532"/>
    <w:rsid w:val="00F06932"/>
    <w:rsid w:val="00F12701"/>
    <w:rsid w:val="00F131D0"/>
    <w:rsid w:val="00F13A81"/>
    <w:rsid w:val="00F13C23"/>
    <w:rsid w:val="00F14395"/>
    <w:rsid w:val="00F14C5C"/>
    <w:rsid w:val="00F17B4E"/>
    <w:rsid w:val="00F234B5"/>
    <w:rsid w:val="00F26B7B"/>
    <w:rsid w:val="00F27704"/>
    <w:rsid w:val="00F3242D"/>
    <w:rsid w:val="00F32F7A"/>
    <w:rsid w:val="00F342E3"/>
    <w:rsid w:val="00F35901"/>
    <w:rsid w:val="00F3608D"/>
    <w:rsid w:val="00F37080"/>
    <w:rsid w:val="00F40333"/>
    <w:rsid w:val="00F4294C"/>
    <w:rsid w:val="00F45D1D"/>
    <w:rsid w:val="00F47A2F"/>
    <w:rsid w:val="00F50C64"/>
    <w:rsid w:val="00F53C15"/>
    <w:rsid w:val="00F56789"/>
    <w:rsid w:val="00F611BA"/>
    <w:rsid w:val="00F656C1"/>
    <w:rsid w:val="00F6730F"/>
    <w:rsid w:val="00F7088E"/>
    <w:rsid w:val="00F7189C"/>
    <w:rsid w:val="00F72776"/>
    <w:rsid w:val="00F7327B"/>
    <w:rsid w:val="00F83C20"/>
    <w:rsid w:val="00F85612"/>
    <w:rsid w:val="00F85674"/>
    <w:rsid w:val="00F90285"/>
    <w:rsid w:val="00F94D77"/>
    <w:rsid w:val="00FA136A"/>
    <w:rsid w:val="00FA1F89"/>
    <w:rsid w:val="00FA200A"/>
    <w:rsid w:val="00FA5A23"/>
    <w:rsid w:val="00FB02B4"/>
    <w:rsid w:val="00FB1531"/>
    <w:rsid w:val="00FB6F9E"/>
    <w:rsid w:val="00FC0304"/>
    <w:rsid w:val="00FC0D39"/>
    <w:rsid w:val="00FC2C15"/>
    <w:rsid w:val="00FC34F0"/>
    <w:rsid w:val="00FC4465"/>
    <w:rsid w:val="00FC5B9E"/>
    <w:rsid w:val="00FD0268"/>
    <w:rsid w:val="00FD0410"/>
    <w:rsid w:val="00FD243B"/>
    <w:rsid w:val="00FD338C"/>
    <w:rsid w:val="00FD7E63"/>
    <w:rsid w:val="00FE07B1"/>
    <w:rsid w:val="00FE1EE4"/>
    <w:rsid w:val="00FE2491"/>
    <w:rsid w:val="00FE53D6"/>
    <w:rsid w:val="00FF358B"/>
    <w:rsid w:val="00FF424C"/>
    <w:rsid w:val="00FF6BE5"/>
    <w:rsid w:val="00FF709C"/>
    <w:rsid w:val="00FF73CD"/>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F56DB-AA3C-4CC8-81DD-FB0498D6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32"/>
    <w:rPr>
      <w:rFonts w:ascii="Tahoma" w:hAnsi="Tahoma" w:cs="Tahoma"/>
      <w:sz w:val="16"/>
      <w:szCs w:val="16"/>
    </w:rPr>
  </w:style>
  <w:style w:type="character" w:styleId="Hyperlink">
    <w:name w:val="Hyperlink"/>
    <w:basedOn w:val="DefaultParagraphFont"/>
    <w:uiPriority w:val="99"/>
    <w:unhideWhenUsed/>
    <w:rsid w:val="000540EB"/>
    <w:rPr>
      <w:color w:val="0000FF" w:themeColor="hyperlink"/>
      <w:u w:val="single"/>
    </w:rPr>
  </w:style>
  <w:style w:type="paragraph" w:styleId="NormalWeb">
    <w:name w:val="Normal (Web)"/>
    <w:basedOn w:val="Normal"/>
    <w:uiPriority w:val="99"/>
    <w:unhideWhenUsed/>
    <w:rsid w:val="007B7F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B7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7F3F"/>
  </w:style>
  <w:style w:type="paragraph" w:styleId="Footer">
    <w:name w:val="footer"/>
    <w:basedOn w:val="Normal"/>
    <w:link w:val="FooterChar"/>
    <w:uiPriority w:val="99"/>
    <w:unhideWhenUsed/>
    <w:rsid w:val="007B7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F3F"/>
  </w:style>
  <w:style w:type="paragraph" w:styleId="ListParagraph">
    <w:name w:val="List Paragraph"/>
    <w:basedOn w:val="Normal"/>
    <w:uiPriority w:val="34"/>
    <w:qFormat/>
    <w:rsid w:val="009F614E"/>
    <w:pPr>
      <w:ind w:left="720"/>
      <w:contextualSpacing/>
    </w:pPr>
  </w:style>
  <w:style w:type="character" w:styleId="FollowedHyperlink">
    <w:name w:val="FollowedHyperlink"/>
    <w:basedOn w:val="DefaultParagraphFont"/>
    <w:uiPriority w:val="99"/>
    <w:semiHidden/>
    <w:unhideWhenUsed/>
    <w:rsid w:val="00665CD0"/>
    <w:rPr>
      <w:color w:val="800080" w:themeColor="followedHyperlink"/>
      <w:u w:val="single"/>
    </w:rPr>
  </w:style>
  <w:style w:type="table" w:styleId="LightShading-Accent5">
    <w:name w:val="Light Shading Accent 5"/>
    <w:basedOn w:val="TableNormal"/>
    <w:uiPriority w:val="60"/>
    <w:rsid w:val="007245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56526">
      <w:bodyDiv w:val="1"/>
      <w:marLeft w:val="0"/>
      <w:marRight w:val="0"/>
      <w:marTop w:val="0"/>
      <w:marBottom w:val="0"/>
      <w:divBdr>
        <w:top w:val="none" w:sz="0" w:space="0" w:color="auto"/>
        <w:left w:val="none" w:sz="0" w:space="0" w:color="auto"/>
        <w:bottom w:val="none" w:sz="0" w:space="0" w:color="auto"/>
        <w:right w:val="none" w:sz="0" w:space="0" w:color="auto"/>
      </w:divBdr>
    </w:div>
    <w:div w:id="1818835202">
      <w:bodyDiv w:val="1"/>
      <w:marLeft w:val="0"/>
      <w:marRight w:val="0"/>
      <w:marTop w:val="0"/>
      <w:marBottom w:val="0"/>
      <w:divBdr>
        <w:top w:val="none" w:sz="0" w:space="0" w:color="auto"/>
        <w:left w:val="none" w:sz="0" w:space="0" w:color="auto"/>
        <w:bottom w:val="none" w:sz="0" w:space="0" w:color="auto"/>
        <w:right w:val="none" w:sz="0" w:space="0" w:color="auto"/>
      </w:divBdr>
    </w:div>
    <w:div w:id="18705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tsa.gov/Driving+Safety/Enforcement+&amp;+Justice+Services/Data-Driven+Approaches+to+Crime+and+Traffic+Safety+(DDACTS)" TargetMode="External"/><Relationship Id="rId13" Type="http://schemas.openxmlformats.org/officeDocument/2006/relationships/hyperlink" Target="http://www.nhtsa.gov/Driving+Safety/Enforcement+&amp;+Justice+Services/Data-Driven+Approaches+to+Crime+and+Traffic+Safety+(DDACT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htsa.gov/ddacts" TargetMode="External"/><Relationship Id="rId17" Type="http://schemas.openxmlformats.org/officeDocument/2006/relationships/hyperlink" Target="https://www.iadlest.org/Projects/DDACTS.aspx" TargetMode="External"/><Relationship Id="rId2" Type="http://schemas.openxmlformats.org/officeDocument/2006/relationships/styles" Target="styles.xml"/><Relationship Id="rId16" Type="http://schemas.openxmlformats.org/officeDocument/2006/relationships/hyperlink" Target="http://www.nij.gov/topics/law-enforcement/operations/traffic/Pages/ddact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http://www.policechiefmagazine.org/magazine/index.cfm?fuseaction=display&amp;article_id=1839&amp;issue_id=72009/"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smartpolicinginitiative.com/sites/all/files/Webinars/DDACTS_OpGuidelinesMarch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Peggy Schaefer</cp:lastModifiedBy>
  <cp:revision>2</cp:revision>
  <dcterms:created xsi:type="dcterms:W3CDTF">2015-06-16T13:59:00Z</dcterms:created>
  <dcterms:modified xsi:type="dcterms:W3CDTF">2015-06-16T13:59:00Z</dcterms:modified>
</cp:coreProperties>
</file>